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19"/>
        <w:gridCol w:w="1976"/>
        <w:gridCol w:w="4843"/>
      </w:tblGrid>
      <w:tr w:rsidR="00D41094">
        <w:trPr>
          <w:trHeight w:val="283"/>
        </w:trPr>
        <w:tc>
          <w:tcPr>
            <w:tcW w:w="2819" w:type="dxa"/>
          </w:tcPr>
          <w:p w:rsidR="00D41094" w:rsidRDefault="00D41094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tcMar>
              <w:left w:w="10" w:type="dxa"/>
              <w:right w:w="10" w:type="dxa"/>
            </w:tcMar>
          </w:tcPr>
          <w:p w:rsidR="00D41094" w:rsidRDefault="00D41094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41094" w:rsidRDefault="007E0D26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7E0D2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41094" w:rsidRDefault="007E0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D41094" w:rsidRDefault="007E0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регламента предоставления</w:t>
            </w:r>
          </w:p>
          <w:p w:rsidR="00D41094" w:rsidRDefault="007E0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«Выдача</w:t>
            </w:r>
          </w:p>
          <w:p w:rsidR="00D41094" w:rsidRDefault="007E0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ордера на право производства</w:t>
            </w:r>
          </w:p>
          <w:p w:rsidR="00D41094" w:rsidRDefault="007E0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земляных работ на территории</w:t>
            </w:r>
          </w:p>
          <w:p w:rsidR="00D41094" w:rsidRDefault="007E0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городского округа Щёлково Московской области»</w:t>
            </w:r>
          </w:p>
          <w:p w:rsidR="00D41094" w:rsidRDefault="007E0D26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D41094" w:rsidRDefault="00D4109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D41094" w:rsidRDefault="007E0D26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условных сокращений и обозначений</w:t>
      </w:r>
    </w:p>
    <w:p w:rsidR="00D41094" w:rsidRDefault="00D4109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Условные сокращения:</w:t>
      </w:r>
    </w:p>
    <w:p w:rsidR="00D41094" w:rsidRDefault="00D4109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094" w:rsidRDefault="00D41094">
      <w:pPr>
        <w:rPr>
          <w:rFonts w:hint="eastAsia"/>
        </w:rPr>
        <w:sectPr w:rsidR="00D41094"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ВИС (ведомственная информационная система) – государственная информационная система обеспечения градостроительной деятельности Московской области.</w:t>
      </w:r>
    </w:p>
    <w:p w:rsidR="00D41094" w:rsidRDefault="00D41094">
      <w:pPr>
        <w:rPr>
          <w:rFonts w:hint="eastAsia"/>
        </w:rPr>
        <w:sectPr w:rsidR="00D41094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ЕПГУ – федеральная государственная информационная система «Единый портал государственных и муниципальных услуг (функций)», расположенная в информационно-телекоммуникационной сети «Интернет» (далее – сеть Интернет) по адресу: www.gosuslugi.ru.</w:t>
      </w:r>
    </w:p>
    <w:p w:rsidR="00D41094" w:rsidRDefault="00D41094">
      <w:pPr>
        <w:rPr>
          <w:rFonts w:hint="eastAsia"/>
        </w:rPr>
        <w:sectPr w:rsidR="00D41094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ЕСИА – федеральная государственная информационная система «Единая система идентификации и аутентификации в инфраструктуре, обеспечивающей информационно-технологическое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:rsidR="00D41094" w:rsidRDefault="00D41094">
      <w:pPr>
        <w:rPr>
          <w:rFonts w:hint="eastAsia"/>
        </w:rPr>
        <w:sectPr w:rsidR="00D41094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 Земляные работы – работы, связанные со вскрытием грунта на глубину более 30 сантиметров (за исключением пахотных работ), забивкой и погружением свай при возведении объектов и сооружений всех видов, подземных и наземных инженерных сетей, коммуникаций, а равно отсыпка грунтом на высоту более 50 сантиметров.</w:t>
      </w:r>
    </w:p>
    <w:p w:rsidR="00D41094" w:rsidRDefault="00D41094">
      <w:pPr>
        <w:rPr>
          <w:rFonts w:hint="eastAsia"/>
        </w:rPr>
        <w:sectPr w:rsidR="00D41094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 Личный кабинет – сервис РПГУ, позволяющий заявителю получать информацию о ходе обработки запросов, поданных посредством РПГУ.</w:t>
      </w:r>
    </w:p>
    <w:p w:rsidR="00D41094" w:rsidRDefault="00D41094">
      <w:pPr>
        <w:rPr>
          <w:rFonts w:hint="eastAsia"/>
        </w:rPr>
        <w:sectPr w:rsidR="00D41094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 Модуль МФЦ ЕИС ОУ – модуль МФЦ Единой информационной системы оказания государственных и муниципальных услуг Московской области.</w:t>
      </w:r>
    </w:p>
    <w:p w:rsidR="00D41094" w:rsidRDefault="00D41094">
      <w:pPr>
        <w:rPr>
          <w:rFonts w:hint="eastAsia"/>
        </w:rPr>
        <w:sectPr w:rsidR="00D41094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 РПГУ –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 w:rsidR="00D41094" w:rsidRDefault="00D41094">
      <w:pPr>
        <w:rPr>
          <w:rFonts w:hint="eastAsia"/>
        </w:rPr>
        <w:sectPr w:rsidR="00D41094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1.8. Электронный образ документа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– электронная копия документа, полученная путем сканирования бумажного носителя с сохранением его реквизитов.</w:t>
      </w:r>
    </w:p>
    <w:p w:rsidR="00D41094" w:rsidRDefault="00D41094">
      <w:pPr>
        <w:rPr>
          <w:rFonts w:hint="eastAsia"/>
        </w:rPr>
        <w:sectPr w:rsidR="00D41094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D4109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Условные обозначения:</w:t>
      </w:r>
    </w:p>
    <w:p w:rsidR="00D41094" w:rsidRDefault="00D4109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0D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Способы подачи:</w:t>
      </w:r>
    </w:p>
    <w:p w:rsidR="00D41094" w:rsidRDefault="00D41094">
      <w:pPr>
        <w:rPr>
          <w:rFonts w:hint="eastAsia"/>
        </w:rPr>
        <w:sectPr w:rsidR="00D41094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 (л)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 w:rsidRPr="007E0D26">
        <w:rPr>
          <w:rStyle w:val="20"/>
          <w:b w:val="0"/>
          <w:color w:val="000000"/>
          <w:sz w:val="28"/>
          <w:szCs w:val="28"/>
          <w:lang w:eastAsia="en-US" w:bidi="ar-SA"/>
        </w:rPr>
        <w:t>–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лично в Администрацию.</w:t>
      </w:r>
    </w:p>
    <w:p w:rsidR="00D41094" w:rsidRDefault="00D41094">
      <w:pPr>
        <w:rPr>
          <w:rFonts w:hint="eastAsia"/>
        </w:rPr>
        <w:sectPr w:rsidR="00D41094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 (п)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 w:rsidRPr="007E0D26">
        <w:rPr>
          <w:rStyle w:val="20"/>
          <w:b w:val="0"/>
          <w:color w:val="000000"/>
          <w:sz w:val="28"/>
          <w:szCs w:val="28"/>
          <w:lang w:eastAsia="en-US" w:bidi="ar-SA"/>
        </w:rPr>
        <w:t>–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в Администрацию почтовым отправлением.</w:t>
      </w:r>
    </w:p>
    <w:p w:rsidR="00D41094" w:rsidRDefault="00D41094">
      <w:pPr>
        <w:rPr>
          <w:rFonts w:hint="eastAsia"/>
        </w:rPr>
        <w:sectPr w:rsidR="00D41094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2.1.3.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 (э)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 w:rsidRPr="007E0D26">
        <w:rPr>
          <w:rStyle w:val="20"/>
          <w:b w:val="0"/>
          <w:color w:val="000000"/>
          <w:sz w:val="28"/>
          <w:szCs w:val="28"/>
          <w:lang w:eastAsia="en-US" w:bidi="ar-SA"/>
        </w:rPr>
        <w:t>–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в Администрацию по электронной почте.</w:t>
      </w:r>
    </w:p>
    <w:p w:rsidR="00D41094" w:rsidRDefault="00D41094">
      <w:pPr>
        <w:rPr>
          <w:rFonts w:hint="eastAsia"/>
        </w:rPr>
        <w:sectPr w:rsidR="00D41094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2.1.4.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РПГУ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 w:rsidRPr="002D1E7E">
        <w:rPr>
          <w:rStyle w:val="20"/>
          <w:b w:val="0"/>
          <w:color w:val="000000"/>
          <w:sz w:val="28"/>
          <w:szCs w:val="28"/>
          <w:lang w:eastAsia="en-US" w:bidi="ar-SA"/>
        </w:rPr>
        <w:t>–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посредством РПГУ.</w:t>
      </w:r>
    </w:p>
    <w:p w:rsidR="00D41094" w:rsidRDefault="00D41094">
      <w:pPr>
        <w:rPr>
          <w:rFonts w:hint="eastAsia"/>
        </w:rPr>
        <w:sectPr w:rsidR="00D41094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0D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Требования к документам:</w:t>
      </w:r>
    </w:p>
    <w:p w:rsidR="00D41094" w:rsidRDefault="00D41094">
      <w:pPr>
        <w:rPr>
          <w:rFonts w:hint="eastAsia"/>
        </w:rPr>
        <w:sectPr w:rsidR="00D41094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0D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.2.1.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Зк</w:t>
      </w:r>
      <w:proofErr w:type="spellEnd"/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 w:rsidRPr="007E0D26">
        <w:rPr>
          <w:rStyle w:val="20"/>
          <w:b w:val="0"/>
          <w:color w:val="000000"/>
          <w:sz w:val="28"/>
          <w:szCs w:val="28"/>
          <w:lang w:eastAsia="en-US" w:bidi="ar-SA"/>
        </w:rPr>
        <w:t>–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заверенная в установленном законодательством Российской Федерации порядке копия документа.</w:t>
      </w: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0D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.2.2.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ИФ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 w:rsidRPr="007E0D26">
        <w:rPr>
          <w:rStyle w:val="20"/>
          <w:b w:val="0"/>
          <w:color w:val="000000"/>
          <w:sz w:val="28"/>
          <w:szCs w:val="28"/>
          <w:lang w:eastAsia="en-US" w:bidi="ar-SA"/>
        </w:rPr>
        <w:t>–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интерактивная форма.</w:t>
      </w: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0D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.2.3.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Ор (для копирования А)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 w:rsidRPr="007E0D26">
        <w:rPr>
          <w:rStyle w:val="20"/>
          <w:b w:val="0"/>
          <w:color w:val="000000"/>
          <w:sz w:val="28"/>
          <w:szCs w:val="28"/>
          <w:lang w:eastAsia="en-US" w:bidi="ar-SA"/>
        </w:rPr>
        <w:t>–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оригинал документа, для снятия с 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0D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.2.4.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Ор (</w:t>
      </w:r>
      <w:proofErr w:type="spellStart"/>
      <w:r>
        <w:rPr>
          <w:rFonts w:ascii="Times New Roman" w:hAnsi="Times New Roman"/>
          <w:sz w:val="28"/>
          <w:szCs w:val="28"/>
        </w:rPr>
        <w:t>сп</w:t>
      </w:r>
      <w:proofErr w:type="spellEnd"/>
      <w:r>
        <w:rPr>
          <w:rFonts w:ascii="Times New Roman" w:hAnsi="Times New Roman"/>
          <w:sz w:val="28"/>
          <w:szCs w:val="28"/>
        </w:rPr>
        <w:t>, п)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 w:rsidRPr="007E0D26">
        <w:rPr>
          <w:rStyle w:val="20"/>
          <w:b w:val="0"/>
          <w:color w:val="000000"/>
          <w:sz w:val="28"/>
          <w:szCs w:val="28"/>
          <w:lang w:eastAsia="en-US" w:bidi="ar-SA"/>
        </w:rPr>
        <w:t>–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оригинал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0D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.2.5.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Эо</w:t>
      </w:r>
      <w:proofErr w:type="spellEnd"/>
      <w:r>
        <w:rPr>
          <w:rFonts w:ascii="Times New Roman" w:hAnsi="Times New Roman"/>
          <w:sz w:val="28"/>
          <w:szCs w:val="28"/>
        </w:rPr>
        <w:t xml:space="preserve"> (Эд)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 w:rsidRPr="007E0D26">
        <w:rPr>
          <w:rStyle w:val="20"/>
          <w:b w:val="0"/>
          <w:color w:val="000000"/>
          <w:sz w:val="28"/>
          <w:szCs w:val="28"/>
          <w:lang w:eastAsia="en-US" w:bidi="ar-SA"/>
        </w:rPr>
        <w:t>–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электронный образ документа (или электронный документ).</w:t>
      </w: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0D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.2.6.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Эо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сп</w:t>
      </w:r>
      <w:proofErr w:type="spellEnd"/>
      <w:r>
        <w:rPr>
          <w:rFonts w:ascii="Times New Roman" w:hAnsi="Times New Roman"/>
          <w:sz w:val="28"/>
          <w:szCs w:val="28"/>
        </w:rPr>
        <w:t xml:space="preserve"> п)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 w:rsidRPr="007E0D26">
        <w:rPr>
          <w:rStyle w:val="20"/>
          <w:b w:val="0"/>
          <w:color w:val="000000"/>
          <w:sz w:val="28"/>
          <w:szCs w:val="28"/>
          <w:lang w:eastAsia="en-US" w:bidi="ar-SA"/>
        </w:rPr>
        <w:t>–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 w:rsidR="00D41094" w:rsidRDefault="00D41094">
      <w:pPr>
        <w:rPr>
          <w:rFonts w:hint="eastAsia"/>
        </w:rPr>
        <w:sectPr w:rsidR="00D41094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0D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Остальные обозначения:</w:t>
      </w: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0D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.3.1.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Все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 w:rsidRPr="007E0D26">
        <w:rPr>
          <w:rStyle w:val="20"/>
          <w:b w:val="0"/>
          <w:color w:val="000000"/>
          <w:sz w:val="28"/>
          <w:szCs w:val="28"/>
          <w:lang w:eastAsia="en-US" w:bidi="ar-SA"/>
        </w:rPr>
        <w:t>–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все категории заявителей.</w:t>
      </w:r>
    </w:p>
    <w:p w:rsidR="00D41094" w:rsidRDefault="007E0D2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0D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.3.2.</w:t>
      </w:r>
      <w:r>
        <w:rPr>
          <w:rFonts w:ascii="Times New Roman" w:eastAsia="MS Gothic" w:hAnsi="Times New Roman" w:cs="Mangal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 w:rsidRPr="007E0D26">
        <w:rPr>
          <w:rStyle w:val="20"/>
          <w:b w:val="0"/>
          <w:color w:val="000000"/>
          <w:sz w:val="28"/>
          <w:szCs w:val="28"/>
          <w:lang w:eastAsia="en-US" w:bidi="ar-SA"/>
        </w:rPr>
        <w:t>–</w:t>
      </w:r>
      <w:r>
        <w:rPr>
          <w:rStyle w:val="20"/>
          <w:b w:val="0"/>
          <w:color w:val="000000"/>
          <w:sz w:val="28"/>
          <w:szCs w:val="28"/>
          <w:lang w:val="en-US"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представитель (возможна подача представителем).</w:t>
      </w:r>
    </w:p>
    <w:p w:rsidR="00D41094" w:rsidRDefault="00D41094">
      <w:pPr>
        <w:rPr>
          <w:rFonts w:hint="eastAsia"/>
        </w:rPr>
        <w:sectPr w:rsidR="00D41094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D41094" w:rsidRDefault="00D4109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41094">
      <w:type w:val="continuous"/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71E"/>
    <w:multiLevelType w:val="multilevel"/>
    <w:tmpl w:val="A7BEC572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3C1E79"/>
    <w:multiLevelType w:val="multilevel"/>
    <w:tmpl w:val="6A6C357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C2F7466"/>
    <w:multiLevelType w:val="multilevel"/>
    <w:tmpl w:val="7CF8AF2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 w15:restartNumberingAfterBreak="0">
    <w:nsid w:val="24E77C16"/>
    <w:multiLevelType w:val="multilevel"/>
    <w:tmpl w:val="7432052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094"/>
    <w:rsid w:val="002D1E7E"/>
    <w:rsid w:val="007E0D26"/>
    <w:rsid w:val="00D4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7B377B-BED1-466E-8F58-2ECFEA2B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 w:cs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 w:cs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466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ATO21</cp:lastModifiedBy>
  <cp:revision>18</cp:revision>
  <dcterms:created xsi:type="dcterms:W3CDTF">2025-07-29T11:43:00Z</dcterms:created>
  <dcterms:modified xsi:type="dcterms:W3CDTF">2025-12-02T08:42:00Z</dcterms:modified>
  <dc:language>en-US</dc:language>
</cp:coreProperties>
</file>