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</w:t>
      </w:r>
      <w:r w:rsidR="008F4F2D" w:rsidRP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бюджетной и налоговой политики </w:t>
      </w:r>
      <w:r w:rsidR="007F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Щёлково</w:t>
      </w:r>
      <w:r w:rsidR="00D66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F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E5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E5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E5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6046BF" w:rsidRPr="00F4630E" w:rsidRDefault="006046BF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933" w:rsidRDefault="00E41AB6" w:rsidP="003221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E538E">
        <w:rPr>
          <w:rFonts w:ascii="Times New Roman" w:hAnsi="Times New Roman" w:cs="Times New Roman"/>
          <w:sz w:val="28"/>
          <w:szCs w:val="28"/>
        </w:rPr>
        <w:t>4</w:t>
      </w:r>
      <w:r w:rsidRPr="00C20EC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E538E">
        <w:rPr>
          <w:rFonts w:ascii="Times New Roman" w:hAnsi="Times New Roman" w:cs="Times New Roman"/>
          <w:sz w:val="28"/>
          <w:szCs w:val="28"/>
        </w:rPr>
        <w:t>5</w:t>
      </w:r>
      <w:r w:rsidR="00D66933">
        <w:rPr>
          <w:rFonts w:ascii="Times New Roman" w:hAnsi="Times New Roman" w:cs="Times New Roman"/>
          <w:sz w:val="28"/>
          <w:szCs w:val="28"/>
        </w:rPr>
        <w:t> </w:t>
      </w:r>
      <w:r w:rsidRPr="00C20ECC">
        <w:rPr>
          <w:rFonts w:ascii="Times New Roman" w:hAnsi="Times New Roman" w:cs="Times New Roman"/>
          <w:sz w:val="28"/>
          <w:szCs w:val="28"/>
        </w:rPr>
        <w:t>-</w:t>
      </w:r>
      <w:r w:rsidR="00D66933">
        <w:rPr>
          <w:rFonts w:ascii="Times New Roman" w:hAnsi="Times New Roman" w:cs="Times New Roman"/>
          <w:sz w:val="28"/>
          <w:szCs w:val="28"/>
        </w:rPr>
        <w:t> </w:t>
      </w:r>
      <w:r w:rsidRPr="00C20ECC">
        <w:rPr>
          <w:rFonts w:ascii="Times New Roman" w:hAnsi="Times New Roman" w:cs="Times New Roman"/>
          <w:sz w:val="28"/>
          <w:szCs w:val="28"/>
        </w:rPr>
        <w:t>202</w:t>
      </w:r>
      <w:r w:rsidR="005E538E">
        <w:rPr>
          <w:rFonts w:ascii="Times New Roman" w:hAnsi="Times New Roman" w:cs="Times New Roman"/>
          <w:sz w:val="28"/>
          <w:szCs w:val="28"/>
        </w:rPr>
        <w:t>6</w:t>
      </w:r>
      <w:r w:rsidRPr="00C20ECC">
        <w:rPr>
          <w:rFonts w:ascii="Times New Roman" w:hAnsi="Times New Roman" w:cs="Times New Roman"/>
          <w:sz w:val="28"/>
          <w:szCs w:val="28"/>
        </w:rPr>
        <w:t xml:space="preserve"> годов подготовлены в целях определения основных подходов к формированию проекта бюджета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E538E">
        <w:rPr>
          <w:rFonts w:ascii="Times New Roman" w:hAnsi="Times New Roman" w:cs="Times New Roman"/>
          <w:sz w:val="28"/>
          <w:szCs w:val="28"/>
        </w:rPr>
        <w:t>4</w:t>
      </w:r>
      <w:r w:rsidRPr="00C20EC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E538E">
        <w:rPr>
          <w:rFonts w:ascii="Times New Roman" w:hAnsi="Times New Roman" w:cs="Times New Roman"/>
          <w:sz w:val="28"/>
          <w:szCs w:val="28"/>
        </w:rPr>
        <w:t>5</w:t>
      </w:r>
      <w:r w:rsidRPr="00C20ECC">
        <w:rPr>
          <w:rFonts w:ascii="Times New Roman" w:hAnsi="Times New Roman" w:cs="Times New Roman"/>
          <w:sz w:val="28"/>
          <w:szCs w:val="28"/>
        </w:rPr>
        <w:t xml:space="preserve"> - 202</w:t>
      </w:r>
      <w:r w:rsidR="005E538E">
        <w:rPr>
          <w:rFonts w:ascii="Times New Roman" w:hAnsi="Times New Roman" w:cs="Times New Roman"/>
          <w:sz w:val="28"/>
          <w:szCs w:val="28"/>
        </w:rPr>
        <w:t>6</w:t>
      </w:r>
      <w:r w:rsidRPr="00C20ECC">
        <w:rPr>
          <w:rFonts w:ascii="Times New Roman" w:hAnsi="Times New Roman" w:cs="Times New Roman"/>
          <w:sz w:val="28"/>
          <w:szCs w:val="28"/>
        </w:rPr>
        <w:t xml:space="preserve"> годов, а также обеспечения прозрачности и открытости бюджетного планирования. Основные направления бюджетной и налоговой политики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(далее - бюджетная и налоговая политика) разработаны в соответствии со статьей 172 Бюджетного кодекса Российской Федерации, статьей </w:t>
      </w:r>
      <w:r w:rsidR="00D66933">
        <w:rPr>
          <w:rFonts w:ascii="Times New Roman" w:hAnsi="Times New Roman" w:cs="Times New Roman"/>
          <w:sz w:val="28"/>
          <w:szCs w:val="28"/>
        </w:rPr>
        <w:t>6</w:t>
      </w:r>
      <w:r w:rsidRPr="00C20EC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город</w:t>
      </w:r>
      <w:r w:rsidR="00D66933">
        <w:rPr>
          <w:rFonts w:ascii="Times New Roman" w:hAnsi="Times New Roman" w:cs="Times New Roman"/>
          <w:sz w:val="28"/>
          <w:szCs w:val="28"/>
        </w:rPr>
        <w:t>ском округе Щелково</w:t>
      </w:r>
      <w:r w:rsidRPr="00C20ECC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D669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20ECC">
        <w:rPr>
          <w:rFonts w:ascii="Times New Roman" w:hAnsi="Times New Roman" w:cs="Times New Roman"/>
          <w:sz w:val="28"/>
          <w:szCs w:val="28"/>
        </w:rPr>
        <w:t xml:space="preserve">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от </w:t>
      </w:r>
      <w:r w:rsidR="00D66933">
        <w:rPr>
          <w:rFonts w:ascii="Times New Roman" w:hAnsi="Times New Roman" w:cs="Times New Roman"/>
          <w:sz w:val="28"/>
          <w:szCs w:val="28"/>
        </w:rPr>
        <w:t>28.05.2019 № </w:t>
      </w:r>
      <w:r w:rsidR="00D66933" w:rsidRPr="00D66933">
        <w:rPr>
          <w:rFonts w:ascii="Times New Roman" w:hAnsi="Times New Roman" w:cs="Times New Roman"/>
          <w:sz w:val="28"/>
          <w:szCs w:val="28"/>
        </w:rPr>
        <w:t xml:space="preserve"> 977/89-227-НПА</w:t>
      </w:r>
      <w:r w:rsidRPr="00C20ECC">
        <w:rPr>
          <w:rFonts w:ascii="Times New Roman" w:hAnsi="Times New Roman" w:cs="Times New Roman"/>
          <w:sz w:val="28"/>
          <w:szCs w:val="28"/>
        </w:rPr>
        <w:t>, и содержат основные цели, задачи и приоритетные направления бюджетной и налоговой политики.</w:t>
      </w:r>
    </w:p>
    <w:p w:rsidR="0039308F" w:rsidRDefault="0039308F" w:rsidP="003221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8E" w:rsidRPr="005E538E" w:rsidRDefault="0039308F" w:rsidP="003221F5">
      <w:pPr>
        <w:widowControl w:val="0"/>
        <w:tabs>
          <w:tab w:val="left" w:pos="6684"/>
        </w:tabs>
        <w:suppressAutoHyphens/>
        <w:autoSpaceDE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9211E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5E538E" w:rsidRPr="005E538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Основные направления налоговой политики на 2024 год и на плановый период 2025 и 2026 годов</w:t>
      </w:r>
    </w:p>
    <w:p w:rsidR="005E538E" w:rsidRPr="005E538E" w:rsidRDefault="005E538E" w:rsidP="003221F5">
      <w:pPr>
        <w:widowControl w:val="0"/>
        <w:tabs>
          <w:tab w:val="left" w:pos="6684"/>
        </w:tabs>
        <w:suppressAutoHyphens/>
        <w:autoSpaceDE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9211E"/>
          <w:sz w:val="28"/>
          <w:szCs w:val="28"/>
          <w:lang w:eastAsia="zh-CN"/>
        </w:rPr>
      </w:pP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направления налоговой политики на 2024 год и на плановый период 2025 и 2026 годов формируются в условиях постепенного смещения от антикризисной политики, к достижению структурных изменений </w:t>
      </w:r>
      <w:r w:rsidR="003221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экономике. </w:t>
      </w:r>
    </w:p>
    <w:p w:rsidR="005E538E" w:rsidRPr="005E538E" w:rsidRDefault="005E538E" w:rsidP="003221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2024-2026 годах будет продолжена реализация основных целей и задач налоговой политики, предусмотренных в предыдущие годы. </w:t>
      </w:r>
    </w:p>
    <w:p w:rsidR="005E538E" w:rsidRPr="005E538E" w:rsidRDefault="005E538E" w:rsidP="003221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целом 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5E538E" w:rsidRPr="005E538E" w:rsidRDefault="005E538E" w:rsidP="003221F5">
      <w:pPr>
        <w:widowControl w:val="0"/>
        <w:tabs>
          <w:tab w:val="left" w:pos="6684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Налоговая политика </w:t>
      </w:r>
      <w:r w:rsidR="003221F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2024 году и на плановый период до 2026 года ориентирована на развитие доходного потенциала на основе экономического роста, а не за счет повышения налоговой нагрузки на плательщиков.</w:t>
      </w:r>
    </w:p>
    <w:p w:rsidR="005E538E" w:rsidRPr="005E538E" w:rsidRDefault="005E538E" w:rsidP="003221F5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Основными задачами в среднесрочной перспективе являются:</w:t>
      </w:r>
    </w:p>
    <w:p w:rsidR="005E538E" w:rsidRPr="005E538E" w:rsidRDefault="005E538E" w:rsidP="003221F5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усиление мер по укреплению налоговой дисциплины налогоплательщиков;</w:t>
      </w:r>
    </w:p>
    <w:p w:rsidR="005E538E" w:rsidRPr="005E538E" w:rsidRDefault="005E538E" w:rsidP="003221F5">
      <w:pPr>
        <w:widowControl w:val="0"/>
        <w:numPr>
          <w:ilvl w:val="0"/>
          <w:numId w:val="6"/>
        </w:numPr>
        <w:tabs>
          <w:tab w:val="left" w:pos="925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реалистичности прогнозирования и минимизация рисков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5E538E" w:rsidRPr="005E538E" w:rsidRDefault="005E538E" w:rsidP="003221F5">
      <w:pPr>
        <w:widowControl w:val="0"/>
        <w:numPr>
          <w:ilvl w:val="0"/>
          <w:numId w:val="6"/>
        </w:numPr>
        <w:tabs>
          <w:tab w:val="left" w:pos="935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укрепление доходной базы бюджета</w:t>
      </w:r>
      <w:r w:rsidR="00322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счет наращивания</w:t>
      </w:r>
      <w:r w:rsidR="00322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стабильных доходных источников и мобилизации в бюджет имеющихся</w:t>
      </w:r>
      <w:r w:rsidR="00322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резервов;</w:t>
      </w:r>
    </w:p>
    <w:p w:rsidR="005E538E" w:rsidRPr="005E538E" w:rsidRDefault="005E538E" w:rsidP="003221F5">
      <w:pPr>
        <w:widowControl w:val="0"/>
        <w:numPr>
          <w:ilvl w:val="0"/>
          <w:numId w:val="6"/>
        </w:numPr>
        <w:tabs>
          <w:tab w:val="left" w:pos="98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эффективности управления муниципальным имуществом.</w:t>
      </w:r>
    </w:p>
    <w:p w:rsidR="005E538E" w:rsidRPr="005E538E" w:rsidRDefault="005E538E" w:rsidP="003221F5">
      <w:pPr>
        <w:widowControl w:val="0"/>
        <w:tabs>
          <w:tab w:val="left" w:pos="989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 бюджетных поступлений планируется достичь за счет:</w:t>
      </w:r>
    </w:p>
    <w:p w:rsidR="005E538E" w:rsidRPr="005E538E" w:rsidRDefault="005E538E" w:rsidP="003221F5">
      <w:pPr>
        <w:widowControl w:val="0"/>
        <w:tabs>
          <w:tab w:val="left" w:pos="989"/>
        </w:tabs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роста инвестиционной и инновационной активности;</w:t>
      </w:r>
    </w:p>
    <w:p w:rsidR="005E538E" w:rsidRPr="005E538E" w:rsidRDefault="005E538E" w:rsidP="003221F5">
      <w:pPr>
        <w:widowControl w:val="0"/>
        <w:tabs>
          <w:tab w:val="left" w:pos="989"/>
        </w:tabs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E538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расширения налоговой базы по имущественным налогам путем выявления и включения в налогооблагаемую базу недвижимого имущества </w:t>
      </w:r>
      <w:r w:rsidRPr="005E538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и земельных участков, которые до настоящего времени не зарегистрированы;</w:t>
      </w:r>
    </w:p>
    <w:p w:rsidR="005E538E" w:rsidRPr="005E538E" w:rsidRDefault="005E538E" w:rsidP="003221F5">
      <w:pPr>
        <w:widowControl w:val="0"/>
        <w:tabs>
          <w:tab w:val="left" w:pos="989"/>
        </w:tabs>
        <w:suppressAutoHyphens/>
        <w:autoSpaceDE w:val="0"/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5E538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5E538E" w:rsidRPr="005E538E" w:rsidRDefault="005E538E" w:rsidP="003221F5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</w:t>
      </w:r>
      <w:r w:rsidR="003221F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E538E" w:rsidRPr="005E538E" w:rsidRDefault="005E538E" w:rsidP="003221F5">
      <w:pPr>
        <w:widowControl w:val="0"/>
        <w:tabs>
          <w:tab w:val="left" w:pos="989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совершенствования управления муниципальной собственностью.</w:t>
      </w: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налоговых и неналоговых доходов будет основываться на вступивших в силу</w:t>
      </w:r>
      <w:r w:rsidR="003F6960" w:rsidRPr="003F69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F696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планируемых к принятию с 2024 года изменений федерального и регионального законодательства</w:t>
      </w:r>
      <w:r w:rsidR="003A30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на </w:t>
      </w:r>
      <w:r w:rsid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утвержденных </w:t>
      </w:r>
      <w:r w:rsidR="003A30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о бюджете Московской области на 2024 год и на плановый период 2025-2026 годов </w:t>
      </w:r>
      <w:r w:rsidR="00DB585B" w:rsidRP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</w:t>
      </w:r>
      <w:r w:rsid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DB585B" w:rsidRP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норматива</w:t>
      </w:r>
      <w:r w:rsid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DB585B" w:rsidRP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отчислений от налога на доходы физических лиц взамен дотаций на выравнивание бюджетной обеспеченности</w:t>
      </w:r>
      <w:r w:rsid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E538E" w:rsidRPr="005E538E" w:rsidRDefault="005E538E" w:rsidP="003221F5">
      <w:pPr>
        <w:tabs>
          <w:tab w:val="left" w:pos="1291"/>
        </w:tabs>
        <w:suppressAutoHyphens/>
        <w:autoSpaceDE w:val="0"/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будет продолжено в рамках деятельности </w:t>
      </w:r>
      <w:r w:rsidR="00EE6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межведомственной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</w:t>
      </w:r>
      <w:r w:rsidR="00EE6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 мобилизации доходов</w:t>
      </w:r>
      <w:r w:rsidR="00DB58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работы по легализации объектов налогообложения. </w:t>
      </w:r>
    </w:p>
    <w:p w:rsidR="005E538E" w:rsidRPr="005E538E" w:rsidRDefault="005E538E" w:rsidP="003221F5">
      <w:pPr>
        <w:spacing w:after="0" w:line="312" w:lineRule="auto"/>
        <w:ind w:firstLine="709"/>
        <w:jc w:val="both"/>
        <w:rPr>
          <w:rFonts w:ascii="Times New Roman CYR" w:eastAsia="Times New Roman" w:hAnsi="Times New Roman CYR" w:cs="Times New Roman CYR"/>
          <w:color w:val="C9211E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Основой формирования налоговой политики, а также основных параметров налоговых и неналоговых доходов бюджета</w:t>
      </w:r>
      <w:r w:rsidR="00EE60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2024 год и среднесрочную перспективу до 2026 года</w:t>
      </w:r>
      <w:r w:rsidR="00DB58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уточненные показатели прогноза социально-экономического развития </w:t>
      </w:r>
      <w:r w:rsidR="008321B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2024-2026 годы</w:t>
      </w:r>
      <w:r w:rsidR="003A301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E538E" w:rsidRPr="005E538E" w:rsidRDefault="005E538E" w:rsidP="003221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Параметры налоговых и неналоговых доходов могут быть изменены в случае уточнения показателей социально-экономического развития </w:t>
      </w:r>
      <w:r w:rsidR="003A301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уточнения прогнозов поступлений доходов главными администраторами доходов бюджета </w:t>
      </w:r>
      <w:r w:rsidR="003A30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и внесения изменений в налоговое и бюджетное законодательство.</w:t>
      </w:r>
    </w:p>
    <w:p w:rsidR="005E538E" w:rsidRPr="005E538E" w:rsidRDefault="005E538E" w:rsidP="003221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38E" w:rsidRPr="005E538E" w:rsidRDefault="005E538E" w:rsidP="003221F5">
      <w:pPr>
        <w:autoSpaceDE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CE181E"/>
          <w:sz w:val="24"/>
          <w:szCs w:val="24"/>
          <w:lang w:eastAsia="zh-CN"/>
        </w:rPr>
      </w:pPr>
    </w:p>
    <w:p w:rsidR="005E538E" w:rsidRPr="005E538E" w:rsidRDefault="001F7883" w:rsidP="003221F5">
      <w:pPr>
        <w:autoSpaceDE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C9211E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5E538E" w:rsidRPr="005E53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направления бюджетной политики</w:t>
      </w:r>
      <w:r w:rsidR="004E42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городского округа</w:t>
      </w:r>
      <w:r w:rsidR="005E538E" w:rsidRPr="005E53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2024 год и на плановый период 2025 и 2026 годов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C9211E"/>
          <w:sz w:val="28"/>
          <w:szCs w:val="28"/>
          <w:lang w:eastAsia="zh-CN"/>
        </w:rPr>
      </w:pP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Arial" w:eastAsia="Times New Roman" w:hAnsi="Arial" w:cs="Arial"/>
          <w:b/>
          <w:color w:val="C9211E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направления бюджетной политики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2024 год и на плановый период 2025 и 2026 годов (далее — бюджетная политика на 2024-2026 годы) разработаны в соответствии со статьей 172 Бюджетного кодекса Российской Федерации и определяют цели, задачи и приоритеты бюджетной политики в среднесрочной перспективе. </w:t>
      </w:r>
    </w:p>
    <w:p w:rsidR="005E538E" w:rsidRPr="005E538E" w:rsidRDefault="005E538E" w:rsidP="003221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Целью бюджетной политики на 2024 – 2026 годы является определение основных подходов к формированию проекта </w:t>
      </w:r>
      <w:r w:rsidR="001F788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2024 год и на плановый период 2025 и 2026 годов.</w:t>
      </w:r>
    </w:p>
    <w:p w:rsidR="005E538E" w:rsidRPr="005E538E" w:rsidRDefault="005E538E" w:rsidP="003221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Задачей бюджетной политики является переход от антикризисной повестки к реализации национальных целей развития, направленных на повышение благосостояния граждан и </w:t>
      </w:r>
      <w:proofErr w:type="spellStart"/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народосбережение</w:t>
      </w:r>
      <w:proofErr w:type="spellEnd"/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опережающее развитие транспортной, коммунальной и социальной инфраструктуры, в том числе за счет федеральных инфраструктурных бюджетных кредитов, проведение сбалансированной долговой политики, рациональное и эффективное использование имеющихся бюджетных средств. При этом выплаты заработной платы работникам бюджетной сферы являются безусловным приоритетом бюджетной политики и будут исполнены в полном объеме в любой экономической ситуации. 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Исходя из поставленной задачи бюджетной политики на 2024-2026 годы главные администраторы средств бюджета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должны обеспечить: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реалистичного прогноза поступления налоговых и неналоговых доходов бюджета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осуществляемого на основе прогноза социально-экономического развития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предстоящий трехлетний период;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привлечение дополнительных межбюджетных трансфертов из областного бюджета в бюджет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максимально возможном объеме;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сохранение уровня финансового обеспечения расходных обязательств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всем первоочередным и социально значимым направлениям. Во исполнение поручения Президента Российской Федерации от 10.12.2022 №Пр-2360 расходы на оплату труда отдельных категорий работников бюджетной сферы, поименованных в указах Президента Российской Федерации 2012 года, должны быть предусмотрены исходя из динамики темпа роста среднемесячной начисленной заработной платы работников, занятых в сфере экономики. Расходы на оплату труда категорий работников бюджетной сферы, не подпадающих под действие данных указов должны быть увеличены на прогнозный уровень инфляции, определенный на федеральном уровне. В необходимом объеме должны быть предусмотрены средства на повышение уровня минимального размера оплаты труда в учреждениях бюджетной сферы;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направление инвестиционных расходов бюджета </w:t>
      </w:r>
      <w:r w:rsidR="00D64E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круга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первую очередь на завершение работ по переходящим объектам строительства, реконструкции, капитального ремонта муниципальной собственности;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включение в проект бюджета </w:t>
      </w:r>
      <w:r w:rsidR="00D64E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бюджетных </w:t>
      </w:r>
      <w:proofErr w:type="gramStart"/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ассигнований  на</w:t>
      </w:r>
      <w:proofErr w:type="gramEnd"/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строительство, реконструкцию объектов  муниципальной собственности при наличии отвода земельного участка под строительство, а также при условии </w:t>
      </w:r>
      <w:proofErr w:type="spellStart"/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указанных расходов  из областного бюджета. Решение о строительстве нового объекта должно быть обосновано наличием дополнительной потребности населения в предоставлении муниципальных услуг и источниками финансового обеспечения деятельности введенных в эксплуатацию объектов;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реализацию новых инвестиционных и инфраструктурных проектов;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расстановку приоритетов в расходовании бюджетных средств, оптимизацию и повышение эффективности бюджетных расходов.  Необходимо обеспечить постоянный мониторинг ритмичности кассового исполнения мероприятий, выполнения контрольных точек </w:t>
      </w:r>
      <w:r w:rsidR="00D64E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проектов</w:t>
      </w: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достижению результатов и показателей государственных и муниципальных программ;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инициативного бюджетирования.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538E" w:rsidRPr="005E538E" w:rsidRDefault="001F7883" w:rsidP="003221F5">
      <w:pPr>
        <w:pBdr>
          <w:bottom w:val="single" w:sz="4" w:space="31" w:color="FFFFFF"/>
        </w:pBd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5E538E" w:rsidRPr="005E53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="005E538E" w:rsidRPr="005E53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асчет предельных базовых бюджетных ассигнований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городского округа </w:t>
      </w:r>
      <w:r w:rsidR="005E538E" w:rsidRPr="005E53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2024-2026 годы 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расходной части </w:t>
      </w:r>
      <w:r w:rsidR="001F7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2024-2026 годы осуществляется исходя из необходимости решения задач, достижения целей </w:t>
      </w:r>
      <w:proofErr w:type="gramStart"/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показателей</w:t>
      </w:r>
      <w:proofErr w:type="gramEnd"/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проектов, а также результатов входящих в их состав региональных проектов.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 счет областных трансфертов прогнозируются по проекту областного бюджета на 2024-2026 годы. Объемы </w:t>
      </w:r>
      <w:proofErr w:type="spellStart"/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определяться с учетом предельных уровней </w:t>
      </w:r>
      <w:proofErr w:type="spellStart"/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из областного бюджета, установленных для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действующим законодательством в расходах должен быть применен принцип раздельного планирования бюджетных ассигнований на исполнение действующих и вновь принимаемых расходных обязательств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Основой для формирования расходов </w:t>
      </w:r>
      <w:r w:rsidR="001F788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2024-2026 годы на исполнение действующих расходных обязательств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реестр, составленный главными распорядителями средств </w:t>
      </w:r>
      <w:r w:rsidR="001F788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главные распорядители).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этом объемы расходов на исполнение действующих расходных обязательств на 2024-2025 годы соответствуют объемам бюджетных ассигнований, утвержденным решением Совета депутатов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E538E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</w:t>
      </w:r>
      <w:r w:rsidR="001F7883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бюджет</w:t>
      </w:r>
      <w:r w:rsidR="00F43AB8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е</w:t>
      </w:r>
      <w:r w:rsidR="001F7883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городского округа</w:t>
      </w:r>
      <w:r w:rsidRPr="005E538E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2023 </w:t>
      </w:r>
      <w:r w:rsidRPr="005E538E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год и на плановый </w:t>
      </w:r>
      <w:r w:rsidRPr="005E538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период 2024 и 2025 годов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Объемы расходов на 2026 год прин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имаются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учетом: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сохранения длящихся расходных обязательств </w:t>
      </w:r>
      <w:r w:rsidR="003152C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уровне объемов бюджетных ассигнований 2025 года;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исключения прекращающихся расходных обязательств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Бюджетные ассигнования на исполнение вновь принимаемых расходных обязательств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должны быть сформированы в целях реализации приоритетов бюджетной политики на 2024-2026 годы.</w:t>
      </w:r>
      <w:r w:rsidRPr="005E538E">
        <w:rPr>
          <w:rFonts w:ascii="Times New Roman" w:eastAsia="Times New Roman" w:hAnsi="Times New Roman" w:cs="Times New Roman"/>
          <w:color w:val="55308D"/>
          <w:sz w:val="28"/>
          <w:szCs w:val="28"/>
          <w:lang w:eastAsia="zh-CN"/>
        </w:rPr>
        <w:t xml:space="preserve">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В их составе уч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итываются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бюджетные ассигнования на реализацию правовых актов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устанавливающих новые расходные обязательства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приняты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текущем году.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поручением Президента Российской Федерации от 10.12.2022 № Пр-2360 расходы на повышение оплаты труда работников бюджетной сферы, поименованных в указах Президента Российской Федерации 2012 года, планируются исходя из динамики темпа роста среднемесячной начисленной заработной платы работников, занятых в сфере экономики.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на оплату труда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работников муниципальных учреждений, на которых не распространяется действие указов Президента Российской Федерации 2012 года, и муниципальных служащих органов местного </w:t>
      </w:r>
      <w:proofErr w:type="gramStart"/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самоуправления 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рассчитываться с учетом индексации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1 января ежегодно на прогнозный уровень инфляции, определенный на федеральном уровне.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проектом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изменений в статью 1 Федерального закона от 19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.06.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2000 № 82-ФЗ «О минимальном размере оплаты труда» будет предусм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атривается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повышение расходов на заработную плату низкооплачиваемых работников бюджетной сферы с 16242 рублей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до 19242 рублей с 1 января 2024 года.</w:t>
      </w: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Бюджетные ассигнования на оплату коммунальных услуг на 2024-2026 годы рассчитываются исходя из планируемой индексации регулируемых цен и тарифов на продукцию (услуги) отраслей инфраструктурного сектора.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межбюджетных трансфертов будет учитываться необходимость решения приоритетных задач социально-экономического развития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обеспечения участия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реализации государственных программ 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области, федеральных и национальных проектах и привлечения дополнительных средств из областного бюджета в бюджет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должен быть сформирован резерв на эти цели.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нормами Бюджетного кодекса Российской Федерации должны быть предусмотрены условно утверждаемые расходы на 2025 и 2026 годы.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бюджетных ассигнований на 2024-2026 годы должен быть ограничен предельным размером дефицита </w:t>
      </w:r>
      <w:r w:rsidR="001F788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установленным статьей 92.1 Бюджетного кодекса Российской Федерации </w:t>
      </w: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(10% от налоговых и неналоговых доходов </w:t>
      </w:r>
      <w:r w:rsidR="001F788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бюджета городского округа</w:t>
      </w:r>
      <w:r w:rsidR="008D69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без учета доходов по дополнительным нормативам</w:t>
      </w:r>
      <w:bookmarkStart w:id="0" w:name="_GoBack"/>
      <w:bookmarkEnd w:id="0"/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и муниципального долга </w:t>
      </w:r>
      <w:r w:rsidR="004513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</w:t>
      </w: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установленного статьей 107 Бюджетного кодекса Российской Федерации.</w:t>
      </w:r>
    </w:p>
    <w:p w:rsidR="005E538E" w:rsidRPr="005E538E" w:rsidRDefault="005E538E" w:rsidP="003221F5">
      <w:pPr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538E" w:rsidRPr="005E538E" w:rsidRDefault="00040EF7" w:rsidP="003221F5">
      <w:pPr>
        <w:keepNext/>
        <w:spacing w:after="0" w:line="312" w:lineRule="auto"/>
        <w:ind w:firstLine="709"/>
        <w:jc w:val="center"/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 xml:space="preserve">4. </w:t>
      </w:r>
      <w:r w:rsidR="005E538E" w:rsidRPr="005E538E"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>Основные направления долговой политики</w:t>
      </w:r>
      <w:r w:rsidR="00C617F2"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 xml:space="preserve"> г</w:t>
      </w:r>
      <w:r w:rsidR="00F43AB8">
        <w:rPr>
          <w:rFonts w:ascii="Times New Roman" w:eastAsia="Microsoft YaHei" w:hAnsi="Times New Roman" w:cs="Times New Roman"/>
          <w:b/>
          <w:bCs/>
          <w:iCs/>
          <w:sz w:val="28"/>
          <w:szCs w:val="28"/>
          <w:lang w:eastAsia="zh-CN"/>
        </w:rPr>
        <w:t>ородского округа</w:t>
      </w:r>
    </w:p>
    <w:p w:rsidR="005E538E" w:rsidRPr="005E538E" w:rsidRDefault="005E538E" w:rsidP="003221F5">
      <w:pPr>
        <w:keepNext/>
        <w:spacing w:after="0" w:line="312" w:lineRule="auto"/>
        <w:ind w:firstLine="709"/>
        <w:jc w:val="center"/>
        <w:rPr>
          <w:rFonts w:ascii="Arial" w:eastAsia="Microsoft YaHei" w:hAnsi="Arial" w:cs="Mangal"/>
          <w:b/>
          <w:sz w:val="28"/>
          <w:szCs w:val="28"/>
          <w:lang w:eastAsia="zh-CN"/>
        </w:rPr>
      </w:pPr>
      <w:r w:rsidRPr="005E538E"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 xml:space="preserve">на 2024 год и на </w:t>
      </w:r>
      <w:proofErr w:type="gramStart"/>
      <w:r w:rsidRPr="005E538E"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>плановый  период</w:t>
      </w:r>
      <w:proofErr w:type="gramEnd"/>
      <w:r w:rsidRPr="005E538E"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 xml:space="preserve"> 2025 и 2026 годов</w:t>
      </w:r>
    </w:p>
    <w:p w:rsidR="005E538E" w:rsidRPr="003152CC" w:rsidRDefault="005E538E" w:rsidP="003221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направления долговой политики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2024 год и на плановый период 2025 и 2026 годов разработаны в соответствии со статьей 107.1 Бюджетного кодекса Российской Федерации в целях обеспечения эффективного управления муниципальным долгом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подготовке основных направлений долговой политики учтены положения основных направлений бюджетной и налоговой политики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2024 год и плановый период 2025 и 2026 годов.</w:t>
      </w:r>
    </w:p>
    <w:p w:rsidR="005E538E" w:rsidRPr="005E538E" w:rsidRDefault="005E538E" w:rsidP="003221F5">
      <w:pPr>
        <w:widowControl w:val="0"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Долговая политика </w:t>
      </w:r>
      <w:r w:rsidR="00C617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как составная часть бюджетной политики в 2024 - 2026 годах, призвана обеспечить последовательность реализации целей и задач предыдущего периода и ориентирована в первую очередь на реализацию стратегических целей развития </w:t>
      </w:r>
      <w:r w:rsidR="00C617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Необходимость соблюдения принципа сбалансированности бюджета подразумевает возможное привлечение заемных средств в случае превышения расходных обязательств над доходами. В этой связи основными целями реализации муниципальной долговой политики являются обеспечение сбалансированности бюджета 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долговой устойчивости </w:t>
      </w:r>
      <w:r w:rsidR="001F788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городского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путем эффективного управления муниципальным долгом.</w:t>
      </w: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целью долговой политики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предстоящие три года будет являться сохранение объема муниципального долга на экономически безопасном уровне,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минимизация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стоимости обслуживания муниципального долга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безусловное выполнение принятых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городским округом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обязательств по его погашению в полном объеме.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 задачами проводимой в 2024 году и плановом периоде 2025 и 2026 годов долговой политики будут являться: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обеспечение сбалансированности бюджета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снижение показателей соотношения объема муниципального долга к общему объему доходов бюджета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учета безвозмездных поступлений в соответствующем финансовом году;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поддержание параметров муниципального долга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своевременное исполнение долговых обязательств в полном объеме;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- минимизация расходов на обслуживание муниципального долга;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обеспечение информационной открытости проводимой долговой политики и доступности информации о муниципальном долге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сбалансированности бюджета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одновременном обеспечении не превышения установленных показателей по объему муниципального долга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минимизации расходов на обслуживание долговых обязательств предполагает использование следующих долговых инструментов:</w:t>
      </w: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кредитов от кредитных организаций, использование которых целесообразно при незначительных объемах заимствований, привлеченных в бюджет </w:t>
      </w:r>
      <w:r w:rsidR="00C617F2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ставкам на уровне не более чем уровень ключевой ставки, установленный Центральным банком Российской Федерации, увеличенный на 1% годовых;</w:t>
      </w:r>
    </w:p>
    <w:p w:rsidR="005E538E" w:rsidRPr="005E538E" w:rsidRDefault="005E538E" w:rsidP="003221F5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5E538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краткосрочных бюджетных кредитов на пополнение остатков средств на едином счете бюджета</w:t>
      </w:r>
      <w:r w:rsidR="00C617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Приоритетным инструментом реализации долговой политики будет оставаться привлечение бюджетных кредитов из областного бюджета, как самого эффектив</w:t>
      </w: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ного и выгодного из способов привлечения заемных средств.</w:t>
      </w:r>
    </w:p>
    <w:p w:rsidR="005E538E" w:rsidRPr="005E538E" w:rsidRDefault="005E538E" w:rsidP="003221F5">
      <w:pPr>
        <w:widowControl w:val="0"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 избежание рисков, возникающих в процессе управления муниципальным долгом, будет проводиться анализ долговых обязательств, мониторинг состояния финансовых рынков.</w:t>
      </w:r>
    </w:p>
    <w:p w:rsidR="005E538E" w:rsidRPr="005E538E" w:rsidRDefault="005E538E" w:rsidP="003221F5">
      <w:pPr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снижения рисков и сохранения их на приемлемом уровне реализация долговой политики будет осуществляться на основе прогнозов поступления доходов и источников финансирования дефицита бюджета </w:t>
      </w:r>
      <w:r w:rsidR="00040EF7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3AB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ородского округа</w:t>
      </w:r>
      <w:r w:rsidRPr="005E538E">
        <w:rPr>
          <w:rFonts w:ascii="Times New Roman" w:eastAsia="Times New Roman" w:hAnsi="Times New Roman" w:cs="Times New Roman"/>
          <w:sz w:val="28"/>
          <w:szCs w:val="28"/>
          <w:lang w:eastAsia="zh-CN"/>
        </w:rPr>
        <w:t>, определения объема финансирования расходов,  анализа исполнения бюджета предыдущих лет и принятия экономически обоснованных и взвешенных решений по привлечению муниципальных заимствований.</w:t>
      </w:r>
    </w:p>
    <w:p w:rsidR="00F16288" w:rsidRPr="00D66933" w:rsidRDefault="00F16288" w:rsidP="003221F5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288" w:rsidRPr="00D66933" w:rsidSect="00086BC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8A" w:rsidRDefault="00C8008A" w:rsidP="00086BCE">
      <w:pPr>
        <w:spacing w:after="0" w:line="240" w:lineRule="auto"/>
      </w:pPr>
      <w:r>
        <w:separator/>
      </w:r>
    </w:p>
  </w:endnote>
  <w:endnote w:type="continuationSeparator" w:id="0">
    <w:p w:rsidR="00C8008A" w:rsidRDefault="00C8008A" w:rsidP="000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33218"/>
      <w:docPartObj>
        <w:docPartGallery w:val="Page Numbers (Bottom of Page)"/>
        <w:docPartUnique/>
      </w:docPartObj>
    </w:sdtPr>
    <w:sdtEndPr/>
    <w:sdtContent>
      <w:p w:rsidR="00F43AB8" w:rsidRDefault="00F43A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43AB8" w:rsidRDefault="00F43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8A" w:rsidRDefault="00C8008A" w:rsidP="00086BCE">
      <w:pPr>
        <w:spacing w:after="0" w:line="240" w:lineRule="auto"/>
      </w:pPr>
      <w:r>
        <w:separator/>
      </w:r>
    </w:p>
  </w:footnote>
  <w:footnote w:type="continuationSeparator" w:id="0">
    <w:p w:rsidR="00C8008A" w:rsidRDefault="00C8008A" w:rsidP="0008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color w:val="000000"/>
        <w:spacing w:val="0"/>
        <w:w w:val="100"/>
        <w:sz w:val="28"/>
        <w:szCs w:val="28"/>
        <w:highlight w:val="whit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1429" w:hanging="360"/>
      </w:pPr>
      <w:rPr>
        <w:b/>
        <w:color w:val="000000"/>
        <w:sz w:val="28"/>
        <w:szCs w:val="28"/>
      </w:rPr>
    </w:lvl>
  </w:abstractNum>
  <w:abstractNum w:abstractNumId="3" w15:restartNumberingAfterBreak="0">
    <w:nsid w:val="02BE54FC"/>
    <w:multiLevelType w:val="hybridMultilevel"/>
    <w:tmpl w:val="ADC4E1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7C169F"/>
    <w:multiLevelType w:val="hybridMultilevel"/>
    <w:tmpl w:val="F950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24140C"/>
    <w:multiLevelType w:val="hybridMultilevel"/>
    <w:tmpl w:val="AB5A2406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BC7C33"/>
    <w:multiLevelType w:val="hybridMultilevel"/>
    <w:tmpl w:val="9050F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714EF1"/>
    <w:multiLevelType w:val="hybridMultilevel"/>
    <w:tmpl w:val="99E09E10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1A"/>
    <w:rsid w:val="00027AB6"/>
    <w:rsid w:val="00031365"/>
    <w:rsid w:val="00031D4C"/>
    <w:rsid w:val="000345BD"/>
    <w:rsid w:val="00040EF7"/>
    <w:rsid w:val="00071B37"/>
    <w:rsid w:val="00086BCE"/>
    <w:rsid w:val="000A631A"/>
    <w:rsid w:val="000B259F"/>
    <w:rsid w:val="000B26B9"/>
    <w:rsid w:val="000C3FB4"/>
    <w:rsid w:val="000E2D98"/>
    <w:rsid w:val="000E70AD"/>
    <w:rsid w:val="000F1A90"/>
    <w:rsid w:val="001223C8"/>
    <w:rsid w:val="00124A00"/>
    <w:rsid w:val="001564DA"/>
    <w:rsid w:val="00171A3D"/>
    <w:rsid w:val="00175053"/>
    <w:rsid w:val="00177C71"/>
    <w:rsid w:val="001A637E"/>
    <w:rsid w:val="001B4ED4"/>
    <w:rsid w:val="001C291A"/>
    <w:rsid w:val="001D2070"/>
    <w:rsid w:val="001E3A7C"/>
    <w:rsid w:val="001F7883"/>
    <w:rsid w:val="002105F0"/>
    <w:rsid w:val="00211225"/>
    <w:rsid w:val="00233ACA"/>
    <w:rsid w:val="00237029"/>
    <w:rsid w:val="00286726"/>
    <w:rsid w:val="00293057"/>
    <w:rsid w:val="002A444E"/>
    <w:rsid w:val="002A46A6"/>
    <w:rsid w:val="002A53FA"/>
    <w:rsid w:val="002B0177"/>
    <w:rsid w:val="002C02E3"/>
    <w:rsid w:val="002C7568"/>
    <w:rsid w:val="002D0C6A"/>
    <w:rsid w:val="002D4852"/>
    <w:rsid w:val="002D50A9"/>
    <w:rsid w:val="003107B8"/>
    <w:rsid w:val="003152CC"/>
    <w:rsid w:val="003221F5"/>
    <w:rsid w:val="003274F5"/>
    <w:rsid w:val="00331145"/>
    <w:rsid w:val="003354B2"/>
    <w:rsid w:val="003519B1"/>
    <w:rsid w:val="00352B24"/>
    <w:rsid w:val="0036032A"/>
    <w:rsid w:val="00373222"/>
    <w:rsid w:val="00391777"/>
    <w:rsid w:val="0039308F"/>
    <w:rsid w:val="003A301E"/>
    <w:rsid w:val="003A3569"/>
    <w:rsid w:val="003C105B"/>
    <w:rsid w:val="003E1F6E"/>
    <w:rsid w:val="003F6960"/>
    <w:rsid w:val="004019E2"/>
    <w:rsid w:val="004302C9"/>
    <w:rsid w:val="00443C36"/>
    <w:rsid w:val="00447276"/>
    <w:rsid w:val="004513CB"/>
    <w:rsid w:val="00452B7F"/>
    <w:rsid w:val="00463735"/>
    <w:rsid w:val="00467D45"/>
    <w:rsid w:val="00494A54"/>
    <w:rsid w:val="00495495"/>
    <w:rsid w:val="00497029"/>
    <w:rsid w:val="004A6638"/>
    <w:rsid w:val="004B1840"/>
    <w:rsid w:val="004B5FDB"/>
    <w:rsid w:val="004C3D69"/>
    <w:rsid w:val="004C495A"/>
    <w:rsid w:val="004D1E41"/>
    <w:rsid w:val="004D5D8C"/>
    <w:rsid w:val="004E4295"/>
    <w:rsid w:val="005108F7"/>
    <w:rsid w:val="0054104B"/>
    <w:rsid w:val="005A6249"/>
    <w:rsid w:val="005B2B75"/>
    <w:rsid w:val="005B6E70"/>
    <w:rsid w:val="005C2352"/>
    <w:rsid w:val="005C3422"/>
    <w:rsid w:val="005E3879"/>
    <w:rsid w:val="005E538E"/>
    <w:rsid w:val="005F2FDA"/>
    <w:rsid w:val="005F71EA"/>
    <w:rsid w:val="006046BF"/>
    <w:rsid w:val="006072E5"/>
    <w:rsid w:val="00625D2A"/>
    <w:rsid w:val="0062753F"/>
    <w:rsid w:val="00633899"/>
    <w:rsid w:val="00634840"/>
    <w:rsid w:val="006D71B3"/>
    <w:rsid w:val="007419CD"/>
    <w:rsid w:val="00750680"/>
    <w:rsid w:val="00786C1D"/>
    <w:rsid w:val="00796AF6"/>
    <w:rsid w:val="007B4DD9"/>
    <w:rsid w:val="007E5B59"/>
    <w:rsid w:val="007F4B14"/>
    <w:rsid w:val="00816927"/>
    <w:rsid w:val="00822CCC"/>
    <w:rsid w:val="008321B1"/>
    <w:rsid w:val="00844381"/>
    <w:rsid w:val="00851765"/>
    <w:rsid w:val="00865E58"/>
    <w:rsid w:val="00870DE3"/>
    <w:rsid w:val="00890864"/>
    <w:rsid w:val="008B3531"/>
    <w:rsid w:val="008C39ED"/>
    <w:rsid w:val="008C7034"/>
    <w:rsid w:val="008D0D80"/>
    <w:rsid w:val="008D2367"/>
    <w:rsid w:val="008D69EF"/>
    <w:rsid w:val="008F01CD"/>
    <w:rsid w:val="008F4F2D"/>
    <w:rsid w:val="009019EA"/>
    <w:rsid w:val="00914D82"/>
    <w:rsid w:val="00925208"/>
    <w:rsid w:val="00947CAD"/>
    <w:rsid w:val="009E423B"/>
    <w:rsid w:val="00A15782"/>
    <w:rsid w:val="00A20BDB"/>
    <w:rsid w:val="00A22E8C"/>
    <w:rsid w:val="00A4421D"/>
    <w:rsid w:val="00A462F5"/>
    <w:rsid w:val="00A4679E"/>
    <w:rsid w:val="00A66DFA"/>
    <w:rsid w:val="00A754C2"/>
    <w:rsid w:val="00A75CB3"/>
    <w:rsid w:val="00A85466"/>
    <w:rsid w:val="00A9215F"/>
    <w:rsid w:val="00AC04B0"/>
    <w:rsid w:val="00AD2740"/>
    <w:rsid w:val="00AE7457"/>
    <w:rsid w:val="00AF2B21"/>
    <w:rsid w:val="00B06B69"/>
    <w:rsid w:val="00B24848"/>
    <w:rsid w:val="00B34746"/>
    <w:rsid w:val="00B84491"/>
    <w:rsid w:val="00BB6111"/>
    <w:rsid w:val="00BB71B4"/>
    <w:rsid w:val="00BC6157"/>
    <w:rsid w:val="00C03E8E"/>
    <w:rsid w:val="00C04FAB"/>
    <w:rsid w:val="00C20ECC"/>
    <w:rsid w:val="00C21264"/>
    <w:rsid w:val="00C227EA"/>
    <w:rsid w:val="00C25073"/>
    <w:rsid w:val="00C522C4"/>
    <w:rsid w:val="00C55AE5"/>
    <w:rsid w:val="00C617F2"/>
    <w:rsid w:val="00C74257"/>
    <w:rsid w:val="00C8008A"/>
    <w:rsid w:val="00CC5720"/>
    <w:rsid w:val="00CD1391"/>
    <w:rsid w:val="00CE13BF"/>
    <w:rsid w:val="00CE5278"/>
    <w:rsid w:val="00CE7A48"/>
    <w:rsid w:val="00CF4DA7"/>
    <w:rsid w:val="00CF4F47"/>
    <w:rsid w:val="00D52715"/>
    <w:rsid w:val="00D64EF5"/>
    <w:rsid w:val="00D66933"/>
    <w:rsid w:val="00D66D0A"/>
    <w:rsid w:val="00D711D3"/>
    <w:rsid w:val="00D73B44"/>
    <w:rsid w:val="00D87F46"/>
    <w:rsid w:val="00DB585B"/>
    <w:rsid w:val="00DD1C55"/>
    <w:rsid w:val="00E311AE"/>
    <w:rsid w:val="00E41AB6"/>
    <w:rsid w:val="00E45991"/>
    <w:rsid w:val="00E548FF"/>
    <w:rsid w:val="00E55412"/>
    <w:rsid w:val="00E853B7"/>
    <w:rsid w:val="00E87A9F"/>
    <w:rsid w:val="00E94E62"/>
    <w:rsid w:val="00EC4E05"/>
    <w:rsid w:val="00EC76D1"/>
    <w:rsid w:val="00ED729E"/>
    <w:rsid w:val="00EE6060"/>
    <w:rsid w:val="00EE6618"/>
    <w:rsid w:val="00EE6AFA"/>
    <w:rsid w:val="00F16288"/>
    <w:rsid w:val="00F265A7"/>
    <w:rsid w:val="00F34068"/>
    <w:rsid w:val="00F43AB8"/>
    <w:rsid w:val="00F4630E"/>
    <w:rsid w:val="00F550DE"/>
    <w:rsid w:val="00FC0455"/>
    <w:rsid w:val="00FC4D97"/>
    <w:rsid w:val="00FE1030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7E13"/>
  <w15:docId w15:val="{F89B12E5-0B00-4EE7-981E-2BD7EFF5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9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Т.Н. Юрина</cp:lastModifiedBy>
  <cp:revision>10</cp:revision>
  <cp:lastPrinted>2022-10-12T13:33:00Z</cp:lastPrinted>
  <dcterms:created xsi:type="dcterms:W3CDTF">2023-10-25T13:44:00Z</dcterms:created>
  <dcterms:modified xsi:type="dcterms:W3CDTF">2023-11-07T12:12:00Z</dcterms:modified>
</cp:coreProperties>
</file>