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spacing w:after="0" w:line="240" w:lineRule="auto"/>
        <w:tabs>
          <w:tab w:val="right" w:pos="9073" w:leader="none"/>
        </w:tabs>
        <w:rPr>
          <w:rFonts w:ascii="Times New Roman" w:hAnsi="Times New Roman" w:eastAsia="Times New Roman"/>
          <w:caps/>
          <w:lang w:eastAsia="ru-RU"/>
        </w:rPr>
      </w:pPr>
      <w:r>
        <w:rPr>
          <w:rFonts w:ascii="Times New Roman" w:hAnsi="Times New Roman" w:eastAsia="Times New Roman"/>
          <w:lang w:eastAsia="ru-RU"/>
        </w:rPr>
        <w:tab/>
      </w:r>
      <w:r>
        <w:rPr>
          <w:rFonts w:ascii="Times New Roman" w:hAnsi="Times New Roman" w:eastAsia="Times New Roman"/>
          <w:lang w:eastAsia="ru-RU"/>
        </w:rPr>
        <w:tab/>
      </w:r>
      <w:r>
        <w:rPr>
          <w:rFonts w:ascii="Times New Roman" w:hAnsi="Times New Roman" w:eastAsia="Times New Roman"/>
          <w:caps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caps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Times New Roman"/>
          <w:caps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aps/>
          <w:sz w:val="24"/>
          <w:szCs w:val="24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 xml:space="preserve">Московская  областная  Дума</w:t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 xml:space="preserve">Комитет по </w:t>
      </w:r>
      <w:bookmarkStart w:id="0" w:name="_GoBack"/>
      <w:r/>
      <w:bookmarkEnd w:id="0"/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 xml:space="preserve">имущественным отношениям,  </w:t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br w:type="textWrapping" w:clear="all"/>
        <w:t xml:space="preserve">природопользованию и экологии</w:t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</w: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sz w:val="28"/>
          <w:szCs w:val="24"/>
          <w:lang w:eastAsia="ru-RU"/>
        </w:rPr>
        <w:t xml:space="preserve">РЕШЕНИЕ</w:t>
      </w:r>
      <w:r>
        <w:rPr>
          <w:rFonts w:ascii="Times New Roman" w:hAnsi="Times New Roman" w:eastAsia="Times New Roman"/>
          <w:b/>
          <w:sz w:val="28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sz w:val="28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6"/>
          <w:szCs w:val="26"/>
          <w:u w:val="single"/>
        </w:rPr>
      </w:pPr>
      <w:r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  <w:t xml:space="preserve">05.03.2025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6"/>
          <w:szCs w:val="26"/>
          <w:u w:val="single"/>
          <w:lang w:eastAsia="ru-RU"/>
        </w:rPr>
        <w:t xml:space="preserve">37</w:t>
      </w:r>
      <w:r>
        <w:rPr>
          <w:rFonts w:ascii="Times New Roman" w:hAnsi="Times New Roman" w:eastAsia="Times New Roman"/>
          <w:b/>
          <w:sz w:val="26"/>
          <w:szCs w:val="26"/>
          <w:u w:val="single"/>
        </w:rPr>
      </w:r>
    </w:p>
    <w:p>
      <w:pPr>
        <w:pStyle w:val="728"/>
        <w:ind w:left="709" w:right="425"/>
        <w:jc w:val="both"/>
        <w:spacing w:after="0" w:line="240" w:lineRule="auto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</w:p>
    <w:p>
      <w:pPr>
        <w:pStyle w:val="728"/>
        <w:ind w:left="709" w:right="425"/>
        <w:jc w:val="both"/>
        <w:spacing w:after="0" w:line="240" w:lineRule="auto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</w:p>
    <w:p>
      <w:pPr>
        <w:ind w:left="1418" w:right="1416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«О деятельности Комиссии по рассмотрению споров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br/>
        <w:t xml:space="preserve">о результатах определения кадастровой стоимости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br/>
        <w:t xml:space="preserve">при Министерстве имущественных отношений Московской области»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left="1418" w:right="1416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1418" w:right="1416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расширенном заседании Комитета по имущественным отношениям, природопользованию и экологии (далее – Комитет) приняли участие депутаты Московской областной Думы, представители Министерства имущественных отношений Московской области (далее –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Минмособлимущества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), Управления Федеральной службы государственной регистрации, кадастра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  <w:t xml:space="preserve">и картографии по Московской области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далее – Управление Росреестра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br w:type="textWrapping" w:clear="all"/>
        <w:t xml:space="preserve">по Московской области)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государственного бюджетного учреждения Московской области «Центр кадастровой оценки» (далее – ГБУ МО «Центр кадастровой оценки»), Управления Федеральной налоговой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службы России по Московской области, </w:t>
      </w:r>
      <w:r>
        <w:rPr>
          <w:rFonts w:ascii="Times New Roman" w:hAnsi="Times New Roman" w:eastAsia="Times New Roman"/>
          <w:sz w:val="28"/>
          <w:szCs w:val="28"/>
        </w:rPr>
        <w:t xml:space="preserve">Министерства экологии и природопользования Московской области, Министерства инвестиций, промышленности и науки Московской области,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Министерства сельского хозяйства и продовольствия Московской области, гос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ударственного бюджетного учреждения «Бюро технической инвентаризации Московской области», Торгово-промышленной палаты Московской области, Уполномоченного по защите прав предпринимателей в Московской области, Экспертного совета при Московской областной Думе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Участники расширенного заседания Комитета рассмотрели и обсудили: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итоги деятельности работы Комиссии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рассмотрению споров о результатах определения кадастровой стоимости при Министерстве имущественных отношений Московской области</w:t>
      </w:r>
      <w:r>
        <w:rPr>
          <w:rFonts w:ascii="Times New Roman" w:hAnsi="Times New Roman"/>
          <w:sz w:val="28"/>
          <w:szCs w:val="28"/>
        </w:rPr>
        <w:t xml:space="preserve"> в 2023–2024 годах</w:t>
      </w:r>
      <w: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целесообразность внесения изменений в федеральное законодательство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eastAsia="Times New Roman"/>
          <w:sz w:val="28"/>
          <w:szCs w:val="28"/>
        </w:rPr>
        <w:t xml:space="preserve">в части исключения обязательной даты перехода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к применению положений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статьи 22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.1 Федерального закона от 3 июля 2016 года № 237-ФЗ «О государственной кадастровой оценке» (далее – Федеральный закон № 237-ФЗ), устанавливающей кадастровую стоимость объектов недвижимости в размере их рыночной стоимости,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сохранения действующего механизма досудебного урегулирования споров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в комиссии по рассмотрению споров о результатах определения кадастровой стоимости</w:t>
      </w:r>
      <w:r>
        <w:t xml:space="preserve">.</w:t>
      </w:r>
      <w:r>
        <w:rPr>
          <w:rFonts w:ascii="Times New Roman" w:hAnsi="Times New Roman" w:eastAsia="Times New Roman"/>
          <w:bCs/>
          <w:i/>
          <w:color w:val="000000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Участники расширенного заседания Комитета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отметили следующее: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729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статьей 22 Федерального закона № 237-ФЗ установлено, что результаты определения кадастровой стоимости могут быть оспорены по заявлению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об оспаривании юридическими лицами и физическими лицами, если результаты определения кадастровой стоимости затрагивают права или обязанности этих лиц,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а также органами государственной власти и органами местного самоуправления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отношении объектов недвижимости, находящихся в государственной или муниципальной собственности, в комиссии </w:t>
      </w:r>
      <w:r>
        <w:rPr>
          <w:rFonts w:ascii="Times New Roman" w:hAnsi="Times New Roman" w:eastAsia="Times New Roman"/>
          <w:sz w:val="28"/>
          <w:szCs w:val="28"/>
        </w:rPr>
        <w:t xml:space="preserve">по рассмотрению споров о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результатах</w:t>
      </w:r>
      <w:r>
        <w:rPr>
          <w:rFonts w:ascii="Times New Roman" w:hAnsi="Times New Roman" w:eastAsia="Times New Roman"/>
          <w:sz w:val="28"/>
          <w:szCs w:val="28"/>
        </w:rPr>
        <w:t xml:space="preserve"> определения кадастровой стоимости (далее – Комиссия)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в случае ее создания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субъекте Российской Федерации или в суде.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Style w:val="729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Согласно статье 22.1 Федерального закона № 237-ФЗ кадастровая стоимость здания, помещения, сооружения, объекта незавершенного строительства,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машино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-места, земельного участка может быть установлена бюджетным учреждением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в размере рыночной стоимости соответствующего объекта недвижимости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br/>
        <w:t xml:space="preserve">по заявлению юридических и физических лиц, если кадастровая стоимость затрагивает права или обязанности этих лиц, а также органов государственной власти и органов местного самоуправления в отношении объектов недвижимости, находящихся в государственной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или муниципальной собственности.</w:t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Федеральным законом от 31 июля 2020 года № 269-ФЗ </w:t>
      </w:r>
      <w:r>
        <w:rPr>
          <w:rFonts w:ascii="Times New Roman" w:hAnsi="Times New Roman" w:eastAsia="Times New Roman"/>
          <w:sz w:val="28"/>
          <w:szCs w:val="28"/>
        </w:rPr>
        <w:br/>
        <w:t xml:space="preserve">«О внесении изменений в отдельные законодательные акты Российской Федераци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и»</w:t>
      </w:r>
      <w:r>
        <w:rPr>
          <w:rFonts w:ascii="Times New Roman" w:hAnsi="Times New Roman" w:eastAsia="Times New Roman"/>
          <w:sz w:val="28"/>
          <w:szCs w:val="28"/>
        </w:rPr>
        <w:t xml:space="preserve"> (далее – Федеральный закон № 269-ФЗ) до 1 января 2026 года установлен </w:t>
      </w:r>
      <w:r>
        <w:rPr>
          <w:rFonts w:ascii="Times New Roman" w:hAnsi="Times New Roman" w:eastAsia="Times New Roman"/>
          <w:sz w:val="28"/>
          <w:szCs w:val="28"/>
        </w:rPr>
        <w:t xml:space="preserve">переходный период</w:t>
      </w:r>
      <w:r>
        <w:rPr>
          <w:rFonts w:ascii="Times New Roman" w:hAnsi="Times New Roman" w:eastAsia="Times New Roman"/>
          <w:sz w:val="28"/>
          <w:szCs w:val="28"/>
        </w:rPr>
        <w:t xml:space="preserve"> применения статей 22 и 22.1 Федерального закона № 237-ФЗ</w:t>
      </w:r>
      <w:r>
        <w:rPr>
          <w:rFonts w:ascii="Times New Roman" w:hAnsi="Times New Roman" w:eastAsia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br/>
        <w:t xml:space="preserve">в течение которого высшим исполнительным органом субъекта Российской Федерации может быть принято решение о дате перехода к применению положений статьи</w:t>
      </w:r>
      <w:r>
        <w:rPr>
          <w:rFonts w:ascii="Times New Roman" w:hAnsi="Times New Roman" w:eastAsia="Times New Roman"/>
          <w:sz w:val="28"/>
          <w:szCs w:val="28"/>
        </w:rPr>
        <w:t xml:space="preserve"> 22.1 для целей установления кадастровой стоимости объектов недвижимости в размере их рыночной стоимости на основании решения бюджетного учреждения.</w:t>
      </w:r>
      <w:r/>
    </w:p>
    <w:p>
      <w:pPr>
        <w:ind w:firstLine="708"/>
        <w:jc w:val="both"/>
        <w:spacing w:after="0" w:line="288" w:lineRule="atLeast"/>
        <w:rPr>
          <w:rFonts w:ascii="Times New Roman" w:hAnsi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В настоящее время 63 субъекта Российской Федерации  перешли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br/>
        <w:t xml:space="preserve">к применению нормы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в соответствии с которой бюджетное учреждение рассматривает заявления об установлении кадастровой стоимости объектов недвижимости в размере их рыночной стоимости и принимает по ним решения.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88" w:lineRule="atLeast"/>
        <w:rPr>
          <w:rFonts w:ascii="Times New Roman" w:hAnsi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</w:rPr>
        <w:t xml:space="preserve">Представитель </w:t>
      </w:r>
      <w:r>
        <w:rPr>
          <w:rFonts w:ascii="Times New Roman" w:hAnsi="Times New Roman"/>
          <w:color w:val="000000"/>
          <w:sz w:val="28"/>
          <w:szCs w:val="28"/>
        </w:rPr>
        <w:t xml:space="preserve">Минмособлимущества</w:t>
      </w:r>
      <w:r>
        <w:rPr>
          <w:rFonts w:ascii="Times New Roman" w:hAnsi="Times New Roman"/>
          <w:color w:val="000000"/>
          <w:sz w:val="28"/>
          <w:szCs w:val="28"/>
        </w:rPr>
        <w:t xml:space="preserve"> проинформировал о деятельности Комиссии, созданной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Минмособимуществе</w:t>
      </w:r>
      <w:r>
        <w:rPr>
          <w:rFonts w:ascii="Times New Roman" w:hAnsi="Times New Roman"/>
          <w:color w:val="000000"/>
          <w:sz w:val="28"/>
          <w:szCs w:val="28"/>
        </w:rPr>
        <w:t xml:space="preserve">, и высказал мнение, что переход Московской области к применению такой нормы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оспаривания кадастровой стоимости </w:t>
      </w:r>
      <w:r>
        <w:rPr>
          <w:rFonts w:ascii="Times New Roman" w:hAnsi="Times New Roman"/>
          <w:color w:val="000000"/>
          <w:sz w:val="28"/>
          <w:szCs w:val="28"/>
        </w:rPr>
        <w:t xml:space="preserve">содержит в себе риски и 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привести к снижению эффективности механизма исправления кадастровой стоимости, а также к возможному снижению налоговых доходов бюджетной системы Московской области и предложил рассмотреть вопрос о целесообразности подготовки законодательной инициативы по </w:t>
      </w:r>
      <w:r>
        <w:rPr>
          <w:rFonts w:ascii="Times New Roman" w:hAnsi="Times New Roman" w:eastAsia="Times New Roman"/>
          <w:sz w:val="28"/>
          <w:szCs w:val="28"/>
        </w:rPr>
        <w:t xml:space="preserve">внесению изменений</w:t>
      </w:r>
      <w:r>
        <w:rPr>
          <w:rFonts w:ascii="Times New Roman" w:hAnsi="Times New Roman" w:eastAsia="Times New Roman"/>
          <w:sz w:val="28"/>
          <w:szCs w:val="28"/>
        </w:rPr>
        <w:t xml:space="preserve"> в Федеральный закон </w:t>
      </w:r>
      <w:r>
        <w:rPr>
          <w:rFonts w:ascii="Times New Roman" w:hAnsi="Times New Roman"/>
          <w:sz w:val="28"/>
          <w:szCs w:val="28"/>
        </w:rPr>
        <w:t xml:space="preserve">№ 237-ФЗ 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269-ФЗ в части </w:t>
      </w:r>
      <w:r>
        <w:rPr>
          <w:rFonts w:ascii="Times New Roman" w:hAnsi="Times New Roman" w:eastAsia="Times New Roman"/>
          <w:sz w:val="28"/>
          <w:szCs w:val="28"/>
        </w:rPr>
        <w:t xml:space="preserve">отмены нормы, определившей обязательную дату перехода для определения кадастровой стоимости объекта недвижимости бюджетным </w:t>
      </w:r>
      <w:r>
        <w:rPr>
          <w:rFonts w:ascii="Times New Roman" w:hAnsi="Times New Roman" w:eastAsia="Times New Roman"/>
          <w:sz w:val="28"/>
          <w:szCs w:val="28"/>
        </w:rPr>
        <w:t xml:space="preserve">учреждением, оставив лишь положение о возможности принятия такого решения высшим исполнительным органом государственной власти субъекта Российской Федерации (далее – законодательная инициатива).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88" w:lineRule="atLeast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</w:rPr>
        <w:t xml:space="preserve">В части доводов о продлении нормы оспаривания кадастровой стоимости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в Комиссии представитель </w:t>
      </w:r>
      <w:r>
        <w:rPr>
          <w:rFonts w:ascii="Times New Roman" w:hAnsi="Times New Roman"/>
          <w:color w:val="000000"/>
          <w:sz w:val="28"/>
          <w:szCs w:val="28"/>
        </w:rPr>
        <w:t xml:space="preserve">Минмособлимущества</w:t>
      </w:r>
      <w:r>
        <w:rPr>
          <w:rFonts w:ascii="Times New Roman" w:hAnsi="Times New Roman"/>
          <w:color w:val="000000"/>
          <w:sz w:val="28"/>
          <w:szCs w:val="28"/>
        </w:rPr>
        <w:t xml:space="preserve"> проинформировал о том, что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в Московской области большое количество объектов недвижимости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(4,1 млн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земельных участков и 9,5 млн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объектов капитального строительства), </w:t>
      </w:r>
      <w:r>
        <w:rPr>
          <w:rFonts w:ascii="Times New Roman" w:hAnsi="Times New Roman"/>
          <w:color w:val="000000"/>
          <w:sz w:val="28"/>
          <w:szCs w:val="28"/>
        </w:rPr>
        <w:t xml:space="preserve">поэтому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при переходе на установление кадастровой стоимости</w:t>
      </w:r>
      <w:r>
        <w:rPr>
          <w:rFonts w:ascii="Times New Roman" w:hAnsi="Times New Roman" w:eastAsia="Times New Roman"/>
          <w:sz w:val="28"/>
          <w:szCs w:val="28"/>
        </w:rPr>
        <w:t xml:space="preserve"> объектов недвижимости </w:t>
      </w:r>
      <w:r>
        <w:rPr>
          <w:rFonts w:ascii="Times New Roman" w:hAnsi="Times New Roman" w:eastAsia="Times New Roman"/>
          <w:sz w:val="28"/>
          <w:szCs w:val="28"/>
        </w:rPr>
        <w:br/>
        <w:t xml:space="preserve">в размере их рыночной стоимости на основании решения бюджетного учреждения: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88" w:lineRule="atLeast"/>
        <w:rPr>
          <w:rFonts w:ascii="Times New Roman" w:hAnsi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</w:rPr>
        <w:t xml:space="preserve">на бюджетное учреждение резко возрастет нагрузка и понадобится увеличение штатной численности сотрудников учреждения и уровня квалификации сотрудников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88" w:lineRule="atLeast"/>
        <w:rPr>
          <w:rFonts w:ascii="Times New Roman" w:hAnsi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руководитель бюджетного учреждения будет единолично нести ответственность за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установление ка</w:t>
      </w:r>
      <w:r>
        <w:rPr>
          <w:rFonts w:ascii="Times New Roman" w:hAnsi="Times New Roman"/>
          <w:color w:val="000000"/>
          <w:sz w:val="28"/>
          <w:szCs w:val="28"/>
        </w:rPr>
        <w:t xml:space="preserve">дастровой стоимости равной рыночной, а сейчас решение принимается коллегиально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Комиссией в составе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9 человек;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88" w:lineRule="atLeast"/>
        <w:rPr>
          <w:rFonts w:ascii="Times New Roman" w:hAnsi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</w:rPr>
        <w:t xml:space="preserve">отказы обжалуются в административном порядке в суде, резко увеличивается нагрузка на суд.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Участники расширенного заседания Комитета</w:t>
      </w:r>
      <w:r>
        <w:rPr>
          <w:rFonts w:ascii="Times New Roman" w:hAnsi="Times New Roman" w:eastAsia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решили: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1. Предложить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Минмособлимуществу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1.1. Направить в исполнительные органы субъектов Российской Федерации запрос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 практике реализации в субъектах Российской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Федерации нормы применения положений статьи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22 Федерального закона № 237-ФЗ, при которой рассмотрение споров осуществляется Комиссией, и применения положений статьи 22.1. Федерального закона № 237-ФЗ, при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которой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рассмотрение заявлений осуществляется бюджетными учреждениями. Сформировать соответствующий перечень вопросов.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Срок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25 марта 2025 года.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1.2. В пояснительной записке к проекту федерального закона отразить негативные последствия для Московской обла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сти, которые могут возникнуть при применении норм статьи 22.1 Федерального закона № 237-ФЗ с приведением статистических данных, подтверждающих предполагаемые негативные последствия, а также оценить, какие субъекты Российской Федерации находятся в условиях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аналогичных Московской области.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1.3. Направить в Комитет информацию об исполнении пунктов 1.1 и 1.2 настоящего решения.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Срок – 31 марта 2025 года.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2. Поручить Комитету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2.1. Направить настоящее решение участникам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расширенного заседания Комитета.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Срок –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14 марта 2025 года.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2.2. Организовать проведение рабочего совещания с участием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Минмособлимущества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ГБУ МО «Центр кадастровой оценки» по обсуждению информации, полученной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Минмособлимущестива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рамках исполнения пункта 1.3 настоящего решения и перспективах дальнейшей работы над законодательной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инициативой.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Срок – 1 мая 2025 года.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2.3. Направить Председателю Московской областной Думы Брынцалову И.Ю. информацию об итогах проведенного расширенного з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аседания Комитета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с указанием основных вопросов, рассмотренных в ходе его проведения и принятых решениях.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Срок – 14 марта 2025 года.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2.4.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Разместить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настоящее решение и другие материалы расширенного заседания Комитета на официальном сайте Московской областной Думы.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Срок – 17 марта 2025 года.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исполнением настоящего решения возложить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  <w:t xml:space="preserve">на председателя Комитета по имущественным отношениям, природопользованию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 экологии Шапкина В.Н.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1"/>
        <w:jc w:val="both"/>
        <w:spacing w:after="0"/>
        <w:tabs>
          <w:tab w:val="left" w:pos="0" w:leader="none"/>
          <w:tab w:val="right" w:pos="10205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Председатель Комитета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right="-1"/>
        <w:jc w:val="both"/>
        <w:spacing w:after="0"/>
        <w:tabs>
          <w:tab w:val="left" w:pos="0" w:leader="none"/>
          <w:tab w:val="right" w:pos="10205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 имущественным отношениям,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right="-1"/>
        <w:jc w:val="both"/>
        <w:spacing w:after="0"/>
        <w:tabs>
          <w:tab w:val="left" w:pos="0" w:leader="none"/>
          <w:tab w:val="right" w:pos="10205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природопользованию и экологии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  <w:t xml:space="preserve">В.Н. Шапкин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</w:p>
  <w:p>
    <w:pPr>
      <w:pStyle w:val="73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0" w:hanging="1680"/>
      </w:pPr>
    </w:lvl>
    <w:lvl w:ilvl="1">
      <w:start w:val="1"/>
      <w:numFmt w:val="decimal"/>
      <w:isLgl w:val="false"/>
      <w:suff w:val="tab"/>
      <w:lvlText w:val="%1.%2."/>
      <w:lvlJc w:val="left"/>
      <w:pPr>
        <w:ind w:left="2034" w:hanging="16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88" w:hanging="168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42" w:hanging="16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96" w:hanging="16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50" w:hanging="16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48" w:hanging="648"/>
      </w:pPr>
    </w:lvl>
    <w:lvl w:ilvl="1">
      <w:start w:val="2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3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 w:default="1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694">
    <w:name w:val="Heading 1"/>
    <w:basedOn w:val="693"/>
    <w:next w:val="693"/>
    <w:link w:val="893"/>
    <w:uiPriority w:val="9"/>
    <w:qFormat/>
    <w:pPr>
      <w:keepNext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paragraph" w:styleId="695">
    <w:name w:val="Heading 2"/>
    <w:basedOn w:val="693"/>
    <w:next w:val="693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693"/>
    <w:next w:val="693"/>
    <w:link w:val="90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697">
    <w:name w:val="Heading 4"/>
    <w:basedOn w:val="693"/>
    <w:next w:val="693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693"/>
    <w:next w:val="693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0">
    <w:name w:val="Heading 7"/>
    <w:basedOn w:val="693"/>
    <w:next w:val="693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1">
    <w:name w:val="Heading 8"/>
    <w:basedOn w:val="693"/>
    <w:next w:val="693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2">
    <w:name w:val="Heading 9"/>
    <w:basedOn w:val="693"/>
    <w:next w:val="693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Heading 2 Char"/>
    <w:basedOn w:val="703"/>
    <w:uiPriority w:val="9"/>
    <w:rPr>
      <w:rFonts w:ascii="Arial" w:hAnsi="Arial" w:eastAsia="Arial" w:cs="Arial"/>
      <w:sz w:val="34"/>
    </w:rPr>
  </w:style>
  <w:style w:type="character" w:styleId="707" w:customStyle="1">
    <w:name w:val="Heading 4 Char"/>
    <w:basedOn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Heading 5 Char"/>
    <w:basedOn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Heading 6 Char"/>
    <w:basedOn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Heading 7 Char"/>
    <w:basedOn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3"/>
    <w:uiPriority w:val="10"/>
    <w:rPr>
      <w:sz w:val="48"/>
      <w:szCs w:val="48"/>
    </w:rPr>
  </w:style>
  <w:style w:type="character" w:styleId="714" w:customStyle="1">
    <w:name w:val="Subtitle Char"/>
    <w:basedOn w:val="703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Footnote Text Char"/>
    <w:uiPriority w:val="99"/>
    <w:rPr>
      <w:sz w:val="18"/>
    </w:rPr>
  </w:style>
  <w:style w:type="character" w:styleId="718" w:customStyle="1">
    <w:name w:val="Endnote Text Char"/>
    <w:uiPriority w:val="99"/>
    <w:rPr>
      <w:sz w:val="20"/>
    </w:rPr>
  </w:style>
  <w:style w:type="character" w:styleId="71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Заголовок 2 Знак"/>
    <w:link w:val="695"/>
    <w:uiPriority w:val="9"/>
    <w:rPr>
      <w:rFonts w:ascii="Arial" w:hAnsi="Arial" w:eastAsia="Arial" w:cs="Arial"/>
      <w:sz w:val="34"/>
    </w:rPr>
  </w:style>
  <w:style w:type="character" w:styleId="72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Заголовок 6 Знак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693"/>
    <w:uiPriority w:val="34"/>
    <w:qFormat/>
    <w:pPr>
      <w:contextualSpacing/>
      <w:ind w:left="720"/>
    </w:pPr>
  </w:style>
  <w:style w:type="paragraph" w:styleId="729">
    <w:name w:val="No Spacing"/>
    <w:uiPriority w:val="1"/>
    <w:qFormat/>
  </w:style>
  <w:style w:type="paragraph" w:styleId="730">
    <w:name w:val="Title"/>
    <w:basedOn w:val="693"/>
    <w:next w:val="693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 w:customStyle="1">
    <w:name w:val="Название Знак"/>
    <w:link w:val="730"/>
    <w:uiPriority w:val="10"/>
    <w:rPr>
      <w:sz w:val="48"/>
      <w:szCs w:val="48"/>
    </w:rPr>
  </w:style>
  <w:style w:type="paragraph" w:styleId="732">
    <w:name w:val="Subtitle"/>
    <w:basedOn w:val="693"/>
    <w:next w:val="693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 w:customStyle="1">
    <w:name w:val="Подзаголовок Знак"/>
    <w:link w:val="732"/>
    <w:uiPriority w:val="11"/>
    <w:rPr>
      <w:sz w:val="24"/>
      <w:szCs w:val="24"/>
    </w:rPr>
  </w:style>
  <w:style w:type="paragraph" w:styleId="734">
    <w:name w:val="Quote"/>
    <w:basedOn w:val="693"/>
    <w:next w:val="693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693"/>
    <w:next w:val="693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paragraph" w:styleId="738">
    <w:name w:val="Header"/>
    <w:basedOn w:val="693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39" w:customStyle="1">
    <w:name w:val="Header Char"/>
    <w:uiPriority w:val="99"/>
  </w:style>
  <w:style w:type="paragraph" w:styleId="740">
    <w:name w:val="Footer"/>
    <w:basedOn w:val="693"/>
    <w:link w:val="8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1" w:customStyle="1">
    <w:name w:val="Footer Char"/>
    <w:uiPriority w:val="99"/>
  </w:style>
  <w:style w:type="paragraph" w:styleId="742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 w:customStyle="1">
    <w:name w:val="Caption Char"/>
    <w:uiPriority w:val="99"/>
  </w:style>
  <w:style w:type="table" w:styleId="744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9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4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2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/>
      <w:u w:val="single"/>
    </w:rPr>
  </w:style>
  <w:style w:type="paragraph" w:styleId="871">
    <w:name w:val="footnote text"/>
    <w:basedOn w:val="693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693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693"/>
    <w:next w:val="693"/>
    <w:uiPriority w:val="39"/>
    <w:unhideWhenUsed/>
    <w:pPr>
      <w:spacing w:after="57"/>
    </w:pPr>
  </w:style>
  <w:style w:type="paragraph" w:styleId="878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79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80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81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82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83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84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85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693"/>
    <w:next w:val="693"/>
    <w:uiPriority w:val="99"/>
    <w:unhideWhenUsed/>
    <w:pPr>
      <w:spacing w:after="0"/>
    </w:pPr>
  </w:style>
  <w:style w:type="paragraph" w:styleId="888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889">
    <w:name w:val="Balloon Text"/>
    <w:basedOn w:val="693"/>
    <w:link w:val="89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0" w:customStyle="1">
    <w:name w:val="Текст выноски Знак"/>
    <w:link w:val="889"/>
    <w:uiPriority w:val="99"/>
    <w:semiHidden/>
    <w:rPr>
      <w:rFonts w:ascii="Segoe UI" w:hAnsi="Segoe UI" w:eastAsia="Calibri" w:cs="Segoe UI"/>
      <w:sz w:val="18"/>
      <w:szCs w:val="18"/>
    </w:rPr>
  </w:style>
  <w:style w:type="character" w:styleId="891" w:customStyle="1">
    <w:name w:val="Верхний колонтитул Знак"/>
    <w:link w:val="738"/>
    <w:uiPriority w:val="99"/>
    <w:rPr>
      <w:rFonts w:ascii="Calibri" w:hAnsi="Calibri" w:eastAsia="Calibri" w:cs="Times New Roman"/>
    </w:rPr>
  </w:style>
  <w:style w:type="character" w:styleId="892" w:customStyle="1">
    <w:name w:val="Нижний колонтитул Знак"/>
    <w:link w:val="740"/>
    <w:uiPriority w:val="99"/>
    <w:rPr>
      <w:rFonts w:ascii="Calibri" w:hAnsi="Calibri" w:eastAsia="Calibri" w:cs="Times New Roman"/>
    </w:rPr>
  </w:style>
  <w:style w:type="character" w:styleId="893" w:customStyle="1">
    <w:name w:val="Заголовок 1 Знак"/>
    <w:link w:val="694"/>
    <w:uiPriority w:val="9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894">
    <w:name w:val="annotation reference"/>
    <w:uiPriority w:val="99"/>
    <w:semiHidden/>
    <w:unhideWhenUsed/>
    <w:rPr>
      <w:sz w:val="16"/>
      <w:szCs w:val="16"/>
    </w:rPr>
  </w:style>
  <w:style w:type="paragraph" w:styleId="895">
    <w:name w:val="annotation text"/>
    <w:basedOn w:val="693"/>
    <w:link w:val="896"/>
    <w:uiPriority w:val="99"/>
    <w:semiHidden/>
    <w:unhideWhenUsed/>
    <w:rPr>
      <w:sz w:val="20"/>
      <w:szCs w:val="20"/>
    </w:rPr>
  </w:style>
  <w:style w:type="character" w:styleId="896" w:customStyle="1">
    <w:name w:val="Текст примечания Знак"/>
    <w:link w:val="895"/>
    <w:uiPriority w:val="99"/>
    <w:semiHidden/>
    <w:rPr>
      <w:lang w:eastAsia="en-US"/>
    </w:rPr>
  </w:style>
  <w:style w:type="paragraph" w:styleId="897">
    <w:name w:val="annotation subject"/>
    <w:basedOn w:val="895"/>
    <w:next w:val="895"/>
    <w:link w:val="898"/>
    <w:uiPriority w:val="99"/>
    <w:semiHidden/>
    <w:unhideWhenUsed/>
    <w:rPr>
      <w:b/>
      <w:bCs/>
    </w:rPr>
  </w:style>
  <w:style w:type="character" w:styleId="898" w:customStyle="1">
    <w:name w:val="Тема примечания Знак"/>
    <w:link w:val="897"/>
    <w:uiPriority w:val="99"/>
    <w:semiHidden/>
    <w:rPr>
      <w:b/>
      <w:bCs/>
      <w:lang w:eastAsia="en-US"/>
    </w:rPr>
  </w:style>
  <w:style w:type="character" w:styleId="899">
    <w:name w:val="FollowedHyperlink"/>
    <w:uiPriority w:val="99"/>
    <w:semiHidden/>
    <w:unhideWhenUsed/>
    <w:rPr>
      <w:color w:val="800080"/>
      <w:u w:val="single"/>
    </w:rPr>
  </w:style>
  <w:style w:type="character" w:styleId="900" w:customStyle="1">
    <w:name w:val="Заголовок 3 Знак"/>
    <w:link w:val="696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Островцева Мария Михайловна</dc:creator>
  <cp:revision>15</cp:revision>
  <dcterms:created xsi:type="dcterms:W3CDTF">2023-12-19T11:30:00Z</dcterms:created>
  <dcterms:modified xsi:type="dcterms:W3CDTF">2025-03-13T05:41:58Z</dcterms:modified>
  <cp:version>917504</cp:version>
</cp:coreProperties>
</file>