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E" w:rsidRPr="00BE0CE0" w:rsidRDefault="007D124E" w:rsidP="00BE0CE0">
      <w:pPr>
        <w:jc w:val="center"/>
        <w:rPr>
          <w:rFonts w:eastAsia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BE0CE0">
        <w:rPr>
          <w:rFonts w:eastAsia="Times New Roman" w:cs="Times New Roman"/>
          <w:b/>
          <w:color w:val="222222"/>
          <w:kern w:val="36"/>
          <w:sz w:val="32"/>
          <w:szCs w:val="32"/>
          <w:lang w:eastAsia="ru-RU"/>
        </w:rPr>
        <w:t>Дайджест Министерства энергетики Московской области</w:t>
      </w:r>
    </w:p>
    <w:p w:rsidR="00136C6F" w:rsidRDefault="007D124E" w:rsidP="00BE0CE0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30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января</w:t>
      </w:r>
      <w:r w:rsidR="006A72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3 февраля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DC29E1" w:rsidRDefault="00DC29E1" w:rsidP="00BE0CE0">
      <w:pPr>
        <w:jc w:val="both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9B6E47" w:rsidRPr="009B6E47" w:rsidRDefault="009B6E47" w:rsidP="00BE0CE0">
      <w:pPr>
        <w:shd w:val="clear" w:color="auto" w:fill="FFFFFF"/>
        <w:spacing w:after="150" w:line="420" w:lineRule="atLeast"/>
        <w:ind w:firstLine="709"/>
        <w:jc w:val="both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Свыше 2,2 тыс. предложений по организации нового наружного освещения реализовано в Московской области в 2016 году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2016 году в Московской области большое внимание было уделено реализации предложений граждан по установке нового освещения, полученных через портал ДоброДел. Всего было реализовано 2211 таких предложений. 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том числе по предложениям граждан были построены новые линии уличного освещения, протяженностью 313,7 км с установкой 9400 светильников. Только в Истринском районе в 2016 году построено более 25 км новых линий наружного освещения.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Это позволило создать безопасную световую среду на 242,1 км улиц и более 300 дворовых территориях и детских площадках. Лидерами в работе по модернизации и строительству линий наружного освещения в 2016 году стали Балашиха, Чеховский и Истринский районы. 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Основной задачей на 2017 год является организация непосредственного участия граждан в формировании адресных перечней по строительству и модернизации линий наружного освещения в каждом муниципальном образовании. 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«Каждый гражданин получит возможность онлайн-отслеживания поданных заявок, а также влияния на процесс определения наиболее приоритетных участков, которые являются самыми важными для жителей. Такими действиями мы обеспечиваем перемены, которые заметны жителям», – отметил министр энергетики Московской области Леонид Неганов.</w:t>
      </w:r>
    </w:p>
    <w:p w:rsidR="009B6E47" w:rsidRPr="009B6E47" w:rsidRDefault="009B6E47" w:rsidP="00BE0CE0">
      <w:pPr>
        <w:shd w:val="clear" w:color="auto" w:fill="FFFFFF"/>
        <w:spacing w:after="150" w:line="420" w:lineRule="atLeast"/>
        <w:ind w:firstLine="709"/>
        <w:jc w:val="both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Энергетики Подмосковья подключили к электрическим сетям роддом в Сергиевом Посаде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По программе Московской области «Здравоохранение Подмосковья» крупнейшая электросетевая компания МОЭСК выдала мощность роддому в Сергиевом Посаде.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Медучреждение, рассчитанное на 150 стационарных мест, представляет собой современное четырехэтажное здание, оборудованное 16 лифтами, системами вентиляции и резервными источниками электропитания.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Кроме того, в г. Волоколамск на ул. Солнечной подключены к электросетям первые 22 из 70 земельных участков, выделенных властями муниципального образования для строительства домов многодетным семьям. На сегодняшний день в работе также находятся заявки на подключение к сетям от многодетных семей Наро-Фоминского, Рузского и Одинцовского районов Подмосковья.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lastRenderedPageBreak/>
        <w:t>«Надо сказать, что мы ведем пообъектный контроль над процессом технологического присоединения социально-значимых объектов. В 2017 году выдать мощности планируется порядка 200 таким объектам. Технологическое присоединение к электрическим и газораспределительным сетям мы стараемся обеспечить в минимально возможные сроки в соответствии с поставленными задачами», – сказал министр энергетики Московской области Леонид Неганов.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Напомним, что в 2016 году к электрическим и газораспределительным сетям в Подмосковье было подключено 184 социаль</w:t>
      </w:r>
      <w:bookmarkStart w:id="0" w:name="_GoBack"/>
      <w:bookmarkEnd w:id="0"/>
      <w:r w:rsidRPr="009B6E47">
        <w:rPr>
          <w:rFonts w:eastAsia="Times New Roman" w:cs="Times New Roman"/>
          <w:color w:val="222222"/>
          <w:szCs w:val="28"/>
          <w:lang w:eastAsia="ru-RU"/>
        </w:rPr>
        <w:t>но-значимых объекта. В это число входят объекты переселения из аварийного жилищного фонда, перинатальные центры, детские сады, школы, центры культурного развития и другие социально-значимые объекты.</w:t>
      </w:r>
    </w:p>
    <w:p w:rsidR="009B6E47" w:rsidRPr="009B6E47" w:rsidRDefault="009B6E47" w:rsidP="00BE0CE0">
      <w:pPr>
        <w:pStyle w:val="1"/>
        <w:shd w:val="clear" w:color="auto" w:fill="FFFFFF"/>
        <w:spacing w:before="0" w:beforeAutospacing="0" w:after="150" w:afterAutospacing="0" w:line="420" w:lineRule="atLeast"/>
        <w:ind w:firstLine="709"/>
        <w:jc w:val="both"/>
        <w:textAlignment w:val="baseline"/>
        <w:rPr>
          <w:bCs w:val="0"/>
          <w:color w:val="222222"/>
          <w:sz w:val="28"/>
          <w:szCs w:val="28"/>
        </w:rPr>
      </w:pPr>
      <w:r w:rsidRPr="009B6E47">
        <w:rPr>
          <w:bCs w:val="0"/>
          <w:color w:val="222222"/>
          <w:sz w:val="28"/>
          <w:szCs w:val="28"/>
        </w:rPr>
        <w:t>В 2017 году в Московской области планируется завершить консолидацию электросетевого муниципального имущества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В 2017 году в Московской области планируется полностью завершить консолидацию электросетевого муниципального имущества. Для этого под областной контроль будут переданы электросетевые активы оставшихся 9 муниципальных образований. 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Консолидация электросетевого имущества проводится в целях создания единых стандартов обслуживания потребителей электрической энергии, а также для повышения качества, эффективности и надежности энергоснабжения за счет распространения лучших практик. 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За 2015-2016 годы под областной контроль было передано электросетевое имущество 54 муниципальных образований Подмосковья. В результате АО «Мособлэнерго», как главный исполнитель решения о консолидации электросетевого комплекса Московской области, сегодня обеспечивает эксплуатацию электросетевого хозяйства на территории 51 муниципального образования,  обслуживает более 30 тысяч километров воздушных и кабельных линий электропередачи и 8 тысяч подстанций различного типа. Компания имеет значительный производственный потенциал: 175 аварийно-восстановительных бригад, численностью 694 человека, 48 дизельных электростанций, общей мощностью более 11 тыс. кВт. 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В ноябре 2016 года АО «Мособлэнерго» принимало участие в ликвидации последствий ледяного дождя на севере Московской области. Помощь по восстановлению электроснабжения оказывали более 20 единиц спецтехники и аварийно-восстановительные бригады в составе более 170 человек, что значительно сократило сроки устранения последствий стихии. 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 xml:space="preserve">За три года количество технологических нарушений на 1000 условных единиц с 7,22 в 2013 году снизилось до 6,39 в 2016 году, то есть на 13 %. Время ликвидации </w:t>
      </w:r>
      <w:r w:rsidRPr="009B6E47">
        <w:rPr>
          <w:color w:val="222222"/>
          <w:sz w:val="28"/>
          <w:szCs w:val="28"/>
        </w:rPr>
        <w:lastRenderedPageBreak/>
        <w:t>технологических нарушений сокращено на 27 % - с 2 часов 26 минут в 2013 году до 1 часа 46 минут в 2016 году.</w:t>
      </w:r>
    </w:p>
    <w:p w:rsidR="009B6E47" w:rsidRPr="009B6E47" w:rsidRDefault="009B6E47" w:rsidP="00BE0CE0">
      <w:pPr>
        <w:pStyle w:val="af2"/>
        <w:shd w:val="clear" w:color="auto" w:fill="FFFFFF"/>
        <w:spacing w:before="0" w:beforeAutospacing="0" w:after="285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B6E47">
        <w:rPr>
          <w:color w:val="222222"/>
          <w:sz w:val="28"/>
          <w:szCs w:val="28"/>
        </w:rPr>
        <w:t>Как отметил министр энергетики Московской области Леонид Неганов, от консолидации электросетевого имущества потребители только выиграют, поскольку, чем крупнее энергетическая компания, чем выше ее ресурсы и потенциал, тем надежнее и стабильнее развивается вся инфраструктура территории.</w:t>
      </w:r>
    </w:p>
    <w:p w:rsidR="009B6E47" w:rsidRPr="009B6E47" w:rsidRDefault="009B6E47" w:rsidP="00BE0CE0">
      <w:pPr>
        <w:shd w:val="clear" w:color="auto" w:fill="FFFFFF"/>
        <w:spacing w:after="150" w:line="420" w:lineRule="atLeast"/>
        <w:ind w:firstLine="709"/>
        <w:jc w:val="both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9B6E47">
        <w:rPr>
          <w:rFonts w:eastAsia="Times New Roman" w:cs="Times New Roman"/>
          <w:b/>
          <w:color w:val="222222"/>
          <w:kern w:val="36"/>
          <w:szCs w:val="28"/>
          <w:lang w:eastAsia="ru-RU"/>
        </w:rPr>
        <w:t>Условия для газоснабжения трех индустриальных парков будут созданы в Московской области в 2017 году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2017 году для трех индустриальных парков на территории Московской области будут созданы условия для газоснабжения, а именно для ИП «Оболенский» в Серпуховском районе, ИП «Папивино» в Клинском районе и ИП «Чашниково» вСолнечногорском районе.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Дополнительно планируется создать условия для газификации тепличного комбината ООО «Луховицкие овощи» в Луховицком районе, крупного фермерского хозяйства по переработке молока ООО «Братья Чебурашкины» в Сергиево-Посадском районе, территории особой экономической зоны в Дубне и перспективных потребителей, в том числе инвестиционных проектов, в Одинцовском районе.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«Надо сказать, что приоритетной задачей для нас является обеспечение газо- и электроснабжения земельных участков для инвестиционных проектов и особых экономических зон в Московской области. Это способствует активному привлечению инвесторов в регион, созданию благоприятного делового климата и, как следствие, созданию мощной экономики, которая формируется на таких площадках. Для этого мы создаем лучшие условия для бизнеса в части обеспеченности необходимой инфраструктурой», – сказал министр энергетики Московской области Леонид Неганов.</w:t>
      </w:r>
    </w:p>
    <w:p w:rsidR="009B6E47" w:rsidRPr="009B6E47" w:rsidRDefault="009B6E47" w:rsidP="00BE0CE0">
      <w:pPr>
        <w:spacing w:after="285" w:line="240" w:lineRule="auto"/>
        <w:ind w:firstLine="709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9B6E47">
        <w:rPr>
          <w:rFonts w:eastAsia="Times New Roman" w:cs="Times New Roman"/>
          <w:color w:val="222222"/>
          <w:szCs w:val="28"/>
          <w:lang w:eastAsia="ru-RU"/>
        </w:rPr>
        <w:t>В 2016 году на территории Подмосковья были созданы условия для газификации четырех индустриальных парков (ИП «Коледино» в городском округе Подольск, ИП «Есипово» вСолнечногорском районе, ИП «Парфентьево» и ИП «Центр» в Коломенском районе), а всего по программе газификации Подмосковья до 2025 года планируется создать условия для газоснабжения 17 индустриальных парков.</w:t>
      </w:r>
    </w:p>
    <w:p w:rsidR="00BB0ADF" w:rsidRDefault="00BB0ADF" w:rsidP="00BE0CE0">
      <w:pPr>
        <w:jc w:val="both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8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51" w:rsidRDefault="000A1551" w:rsidP="00750CCF">
      <w:pPr>
        <w:spacing w:line="240" w:lineRule="auto"/>
      </w:pPr>
      <w:r>
        <w:separator/>
      </w:r>
    </w:p>
  </w:endnote>
  <w:endnote w:type="continuationSeparator" w:id="1">
    <w:p w:rsidR="000A1551" w:rsidRDefault="000A155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51" w:rsidRDefault="000A1551" w:rsidP="00750CCF">
      <w:pPr>
        <w:spacing w:line="240" w:lineRule="auto"/>
      </w:pPr>
      <w:r>
        <w:separator/>
      </w:r>
    </w:p>
  </w:footnote>
  <w:footnote w:type="continuationSeparator" w:id="1">
    <w:p w:rsidR="000A1551" w:rsidRDefault="000A155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386139"/>
    </w:sdtPr>
    <w:sdtContent>
      <w:p w:rsidR="002951A6" w:rsidRDefault="000F2C02">
        <w:pPr>
          <w:pStyle w:val="ab"/>
          <w:jc w:val="center"/>
        </w:pPr>
        <w:r>
          <w:fldChar w:fldCharType="begin"/>
        </w:r>
        <w:r w:rsidR="002951A6">
          <w:instrText>PAGE   \* MERGEFORMAT</w:instrText>
        </w:r>
        <w:r>
          <w:fldChar w:fldCharType="separate"/>
        </w:r>
        <w:r w:rsidR="006A72E1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A1551"/>
    <w:rsid w:val="000A550D"/>
    <w:rsid w:val="000C1881"/>
    <w:rsid w:val="000C4793"/>
    <w:rsid w:val="000D172B"/>
    <w:rsid w:val="000D352B"/>
    <w:rsid w:val="000D5827"/>
    <w:rsid w:val="000F2C02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26D73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65EF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A72E1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67D3A"/>
    <w:rsid w:val="0097252E"/>
    <w:rsid w:val="00975919"/>
    <w:rsid w:val="00976D63"/>
    <w:rsid w:val="00976EFE"/>
    <w:rsid w:val="009951DA"/>
    <w:rsid w:val="00995A29"/>
    <w:rsid w:val="00996825"/>
    <w:rsid w:val="009B1AF2"/>
    <w:rsid w:val="009B6E47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0CE0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5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69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1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3FEA-18DC-46AD-85FC-6B2212EE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(шаблон).dotx</Template>
  <TotalTime>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Виктор</cp:lastModifiedBy>
  <cp:revision>3</cp:revision>
  <cp:lastPrinted>2016-04-21T12:50:00Z</cp:lastPrinted>
  <dcterms:created xsi:type="dcterms:W3CDTF">2017-02-08T06:54:00Z</dcterms:created>
  <dcterms:modified xsi:type="dcterms:W3CDTF">2017-02-08T06:09:00Z</dcterms:modified>
</cp:coreProperties>
</file>