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83" w:rsidRPr="00AF0424" w:rsidRDefault="00926683" w:rsidP="00926683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caps/>
          <w:szCs w:val="20"/>
        </w:rPr>
      </w:pPr>
      <w:r w:rsidRPr="00AF0424">
        <w:rPr>
          <w:b/>
          <w:caps/>
          <w:szCs w:val="20"/>
        </w:rPr>
        <w:t xml:space="preserve">ИнформационноЕ сообщениЕ </w:t>
      </w:r>
    </w:p>
    <w:p w:rsidR="00926683" w:rsidRPr="00AF0424" w:rsidRDefault="00926683" w:rsidP="00926683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szCs w:val="28"/>
        </w:rPr>
      </w:pPr>
      <w:r w:rsidRPr="00AF0424">
        <w:rPr>
          <w:b/>
          <w:caps/>
          <w:szCs w:val="20"/>
        </w:rPr>
        <w:t xml:space="preserve">о </w:t>
      </w:r>
      <w:r w:rsidRPr="00AF0424">
        <w:rPr>
          <w:b/>
          <w:szCs w:val="28"/>
        </w:rPr>
        <w:t>СБОРЕ ПРЕДЛОЖЕНИЙ ДЛЯ ДОПОЛНИТЕЛЬНОГО ЗАЧИСЛЕНИЯ В РЕЗЕРВ СОСТАВОВ УЧАСТКОВЫХ ИЗБИРАТЕЛЬНЫХ КОМИССИЙ</w:t>
      </w:r>
    </w:p>
    <w:p w:rsidR="00926683" w:rsidRPr="00AF0424" w:rsidRDefault="00926683" w:rsidP="00926683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22"/>
          <w:szCs w:val="22"/>
        </w:rPr>
      </w:pPr>
    </w:p>
    <w:p w:rsidR="00926683" w:rsidRPr="00091D16" w:rsidRDefault="00926683" w:rsidP="009266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 w:rsidRPr="00091D16">
        <w:rPr>
          <w:bCs/>
          <w:sz w:val="22"/>
          <w:szCs w:val="22"/>
        </w:rPr>
        <w:t xml:space="preserve">В связи с назначением выборов </w:t>
      </w:r>
      <w:r>
        <w:rPr>
          <w:bCs/>
          <w:sz w:val="22"/>
          <w:szCs w:val="22"/>
        </w:rPr>
        <w:t>депутатов Совета депутатов городского округа Щёлково</w:t>
      </w:r>
      <w:r w:rsidRPr="00091D16">
        <w:rPr>
          <w:bCs/>
          <w:sz w:val="22"/>
          <w:szCs w:val="22"/>
        </w:rPr>
        <w:t xml:space="preserve">, руководствуясь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(в ред. Постановления ЦИК России от 01.11.2017 г. № 108/903-7) </w:t>
      </w:r>
      <w:r>
        <w:rPr>
          <w:bCs/>
          <w:sz w:val="22"/>
          <w:szCs w:val="22"/>
        </w:rPr>
        <w:t>Территориальная и</w:t>
      </w:r>
      <w:r w:rsidRPr="00091D16">
        <w:rPr>
          <w:bCs/>
          <w:sz w:val="22"/>
          <w:szCs w:val="22"/>
        </w:rPr>
        <w:t xml:space="preserve">збирательная комиссия </w:t>
      </w:r>
      <w:r>
        <w:rPr>
          <w:bCs/>
          <w:sz w:val="22"/>
          <w:szCs w:val="22"/>
        </w:rPr>
        <w:t>города Щёлково</w:t>
      </w:r>
      <w:r w:rsidRPr="00091D16">
        <w:rPr>
          <w:bCs/>
          <w:sz w:val="22"/>
          <w:szCs w:val="22"/>
        </w:rPr>
        <w:t xml:space="preserve"> проводит сбор предложений для дополнительного зачисления в резерв составов участковых избирательных комиссий. </w:t>
      </w:r>
    </w:p>
    <w:p w:rsidR="00926683" w:rsidRDefault="00926683" w:rsidP="009266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 w:rsidRPr="00091D16">
        <w:rPr>
          <w:bCs/>
          <w:sz w:val="22"/>
          <w:szCs w:val="22"/>
        </w:rPr>
        <w:t xml:space="preserve">Сбор предложений осуществляется </w:t>
      </w:r>
      <w:r>
        <w:rPr>
          <w:bCs/>
          <w:sz w:val="22"/>
          <w:szCs w:val="22"/>
        </w:rPr>
        <w:t>Т</w:t>
      </w:r>
      <w:r w:rsidRPr="00091D16">
        <w:rPr>
          <w:bCs/>
          <w:sz w:val="22"/>
          <w:szCs w:val="22"/>
        </w:rPr>
        <w:t>ерриториальн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избирательн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комисси</w:t>
      </w:r>
      <w:r>
        <w:rPr>
          <w:bCs/>
          <w:sz w:val="22"/>
          <w:szCs w:val="22"/>
        </w:rPr>
        <w:t>ей</w:t>
      </w:r>
      <w:r w:rsidRPr="00091D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города Щёлково</w:t>
      </w:r>
      <w:r w:rsidRPr="00091D16">
        <w:rPr>
          <w:bCs/>
          <w:sz w:val="22"/>
          <w:szCs w:val="22"/>
        </w:rPr>
        <w:t xml:space="preserve"> с</w:t>
      </w:r>
      <w:r>
        <w:rPr>
          <w:bCs/>
          <w:sz w:val="22"/>
          <w:szCs w:val="22"/>
        </w:rPr>
        <w:t xml:space="preserve"> 19</w:t>
      </w:r>
      <w:r w:rsidRPr="00091D16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7.2019</w:t>
      </w:r>
      <w:r w:rsidRPr="00091D16">
        <w:rPr>
          <w:bCs/>
          <w:sz w:val="22"/>
          <w:szCs w:val="22"/>
        </w:rPr>
        <w:t xml:space="preserve"> по </w:t>
      </w:r>
      <w:r>
        <w:rPr>
          <w:bCs/>
          <w:sz w:val="22"/>
          <w:szCs w:val="22"/>
        </w:rPr>
        <w:t>08.08</w:t>
      </w:r>
      <w:r w:rsidRPr="00091D16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091D16">
        <w:rPr>
          <w:bCs/>
          <w:sz w:val="22"/>
          <w:szCs w:val="22"/>
        </w:rPr>
        <w:t>, расположенн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по адрес</w:t>
      </w:r>
      <w:r>
        <w:rPr>
          <w:bCs/>
          <w:sz w:val="22"/>
          <w:szCs w:val="22"/>
        </w:rPr>
        <w:t>у</w:t>
      </w:r>
      <w:r w:rsidRPr="00091D16">
        <w:rPr>
          <w:bCs/>
          <w:sz w:val="22"/>
          <w:szCs w:val="22"/>
        </w:rPr>
        <w:t>:</w:t>
      </w:r>
    </w:p>
    <w:p w:rsidR="00926683" w:rsidRPr="00AF0424" w:rsidRDefault="00926683" w:rsidP="009266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510"/>
        <w:gridCol w:w="4536"/>
        <w:gridCol w:w="1134"/>
      </w:tblGrid>
      <w:tr w:rsidR="00926683" w:rsidRPr="00AF0424" w:rsidTr="003A784C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926683" w:rsidRPr="00AF0424" w:rsidRDefault="00926683" w:rsidP="003A784C">
            <w:pPr>
              <w:ind w:left="-57" w:right="-57"/>
              <w:rPr>
                <w:b/>
                <w:sz w:val="20"/>
                <w:szCs w:val="20"/>
              </w:rPr>
            </w:pPr>
            <w:r w:rsidRPr="00AF0424">
              <w:rPr>
                <w:b/>
                <w:sz w:val="20"/>
                <w:szCs w:val="20"/>
              </w:rPr>
              <w:t>Наименование избирательной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26683" w:rsidRPr="00AF0424" w:rsidRDefault="00926683" w:rsidP="003A784C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  <w:sz w:val="20"/>
                <w:szCs w:val="20"/>
              </w:rPr>
            </w:pPr>
            <w:r w:rsidRPr="00AF0424">
              <w:rPr>
                <w:b/>
                <w:sz w:val="20"/>
                <w:szCs w:val="20"/>
              </w:rPr>
              <w:t>Адрес комиссии с указанием почтового индекса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83" w:rsidRPr="00AF0424" w:rsidRDefault="00926683" w:rsidP="003A784C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  <w:sz w:val="20"/>
                <w:szCs w:val="20"/>
              </w:rPr>
            </w:pPr>
            <w:r w:rsidRPr="00AF0424">
              <w:rPr>
                <w:b/>
                <w:bCs/>
                <w:sz w:val="20"/>
                <w:szCs w:val="20"/>
              </w:rPr>
              <w:t>Структура резерва</w:t>
            </w:r>
          </w:p>
        </w:tc>
      </w:tr>
      <w:tr w:rsidR="00926683" w:rsidRPr="00AF0424" w:rsidTr="003A784C">
        <w:trPr>
          <w:cantSplit/>
          <w:tblHeader/>
        </w:trPr>
        <w:tc>
          <w:tcPr>
            <w:tcW w:w="3510" w:type="dxa"/>
            <w:shd w:val="clear" w:color="auto" w:fill="auto"/>
          </w:tcPr>
          <w:p w:rsidR="00926683" w:rsidRPr="00AF0424" w:rsidRDefault="00926683" w:rsidP="003A784C">
            <w:pPr>
              <w:jc w:val="both"/>
              <w:rPr>
                <w:sz w:val="22"/>
                <w:szCs w:val="22"/>
                <w:lang w:eastAsia="en-US"/>
              </w:rPr>
            </w:pPr>
            <w:r w:rsidRPr="00AF0424">
              <w:rPr>
                <w:sz w:val="22"/>
                <w:szCs w:val="22"/>
                <w:lang w:eastAsia="en-US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eastAsia="en-US"/>
              </w:rPr>
              <w:t>города Щёлков</w:t>
            </w:r>
            <w:r w:rsidRPr="00AF0424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4536" w:type="dxa"/>
            <w:shd w:val="clear" w:color="auto" w:fill="auto"/>
          </w:tcPr>
          <w:p w:rsidR="00926683" w:rsidRPr="00AF0424" w:rsidRDefault="00926683" w:rsidP="003A784C">
            <w:pPr>
              <w:jc w:val="both"/>
              <w:rPr>
                <w:sz w:val="22"/>
                <w:szCs w:val="22"/>
                <w:lang w:eastAsia="en-US"/>
              </w:rPr>
            </w:pPr>
            <w:r w:rsidRPr="00AF0424">
              <w:rPr>
                <w:sz w:val="22"/>
                <w:szCs w:val="22"/>
                <w:lang w:eastAsia="en-US"/>
              </w:rPr>
              <w:t>141100, Московская область, Щёлковский муниципальный район, площадь Ленина, дом 2, комн.110</w:t>
            </w:r>
          </w:p>
        </w:tc>
        <w:tc>
          <w:tcPr>
            <w:tcW w:w="1134" w:type="dxa"/>
            <w:shd w:val="clear" w:color="auto" w:fill="auto"/>
          </w:tcPr>
          <w:p w:rsidR="00926683" w:rsidRDefault="00926683" w:rsidP="003A784C">
            <w:pPr>
              <w:rPr>
                <w:sz w:val="22"/>
                <w:szCs w:val="22"/>
                <w:lang w:eastAsia="en-US"/>
              </w:rPr>
            </w:pPr>
          </w:p>
          <w:p w:rsidR="00926683" w:rsidRPr="00AF0424" w:rsidRDefault="00926683" w:rsidP="003A78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ТИК</w:t>
            </w:r>
          </w:p>
        </w:tc>
      </w:tr>
    </w:tbl>
    <w:p w:rsidR="00926683" w:rsidRDefault="00926683" w:rsidP="009266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926683" w:rsidRDefault="00926683" w:rsidP="009266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>
        <w:rPr>
          <w:sz w:val="24"/>
        </w:rPr>
        <w:t>График работы ТИК города Щёлково по приему предложений в резерв составов участковых избирательных комиссий:</w:t>
      </w:r>
    </w:p>
    <w:p w:rsidR="00926683" w:rsidRPr="00433AAF" w:rsidRDefault="00926683" w:rsidP="00926683">
      <w:pPr>
        <w:ind w:firstLine="993"/>
        <w:jc w:val="both"/>
        <w:rPr>
          <w:sz w:val="24"/>
        </w:rPr>
      </w:pPr>
      <w:r w:rsidRPr="00433AAF">
        <w:rPr>
          <w:sz w:val="24"/>
        </w:rPr>
        <w:t>будние дни – с 1</w:t>
      </w:r>
      <w:r>
        <w:rPr>
          <w:sz w:val="24"/>
        </w:rPr>
        <w:t>6</w:t>
      </w:r>
      <w:r w:rsidRPr="00433AAF">
        <w:rPr>
          <w:sz w:val="24"/>
        </w:rPr>
        <w:t xml:space="preserve">:00 час. до </w:t>
      </w:r>
      <w:r>
        <w:rPr>
          <w:sz w:val="24"/>
        </w:rPr>
        <w:t>20</w:t>
      </w:r>
      <w:r w:rsidRPr="00433AAF">
        <w:rPr>
          <w:sz w:val="24"/>
        </w:rPr>
        <w:t>:00 час.</w:t>
      </w:r>
    </w:p>
    <w:p w:rsidR="00926683" w:rsidRPr="00433AAF" w:rsidRDefault="00926683" w:rsidP="00926683">
      <w:pPr>
        <w:ind w:firstLine="993"/>
        <w:jc w:val="both"/>
        <w:rPr>
          <w:sz w:val="24"/>
        </w:rPr>
      </w:pPr>
      <w:r w:rsidRPr="00433AAF">
        <w:rPr>
          <w:sz w:val="24"/>
        </w:rPr>
        <w:t>суббота, воскресенье – с 1</w:t>
      </w:r>
      <w:r>
        <w:rPr>
          <w:sz w:val="24"/>
        </w:rPr>
        <w:t>0</w:t>
      </w:r>
      <w:r w:rsidRPr="00433AAF">
        <w:rPr>
          <w:sz w:val="24"/>
        </w:rPr>
        <w:t>:00 час. до 1</w:t>
      </w:r>
      <w:r>
        <w:rPr>
          <w:sz w:val="24"/>
        </w:rPr>
        <w:t>4</w:t>
      </w:r>
      <w:r w:rsidRPr="00433AAF">
        <w:rPr>
          <w:sz w:val="24"/>
        </w:rPr>
        <w:t>:00 час.</w:t>
      </w:r>
    </w:p>
    <w:p w:rsidR="00926683" w:rsidRPr="00AF0424" w:rsidRDefault="00926683" w:rsidP="009266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AF0424">
        <w:rPr>
          <w:sz w:val="24"/>
        </w:rPr>
        <w:t xml:space="preserve">В соответствии с положениями </w:t>
      </w:r>
      <w:hyperlink r:id="rId5" w:history="1">
        <w:r w:rsidRPr="00AF0424">
          <w:rPr>
            <w:sz w:val="24"/>
          </w:rPr>
          <w:t>статей 22</w:t>
        </w:r>
      </w:hyperlink>
      <w:r w:rsidRPr="00AF0424">
        <w:rPr>
          <w:sz w:val="24"/>
        </w:rPr>
        <w:t xml:space="preserve"> и </w:t>
      </w:r>
      <w:hyperlink r:id="rId6" w:history="1">
        <w:r w:rsidRPr="00AF0424">
          <w:rPr>
            <w:sz w:val="24"/>
          </w:rPr>
          <w:t>27</w:t>
        </w:r>
      </w:hyperlink>
      <w:r w:rsidRPr="00AF0424">
        <w:rPr>
          <w:sz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926683" w:rsidRPr="00AF0424" w:rsidRDefault="00926683" w:rsidP="0092668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926683" w:rsidRPr="00AF0424" w:rsidRDefault="00926683" w:rsidP="0092668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926683" w:rsidRPr="00AF0424" w:rsidRDefault="00926683" w:rsidP="0092668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926683" w:rsidRPr="00AF0424" w:rsidRDefault="00926683" w:rsidP="0092668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собраний избирателей по месту жительства, работы, службы, учебы;</w:t>
      </w:r>
    </w:p>
    <w:p w:rsidR="00926683" w:rsidRPr="00AF0424" w:rsidRDefault="00926683" w:rsidP="0092668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представительных органов муниципальных образований.</w:t>
      </w:r>
    </w:p>
    <w:p w:rsidR="00926683" w:rsidRPr="00AF0424" w:rsidRDefault="00926683" w:rsidP="00926683">
      <w:pPr>
        <w:autoSpaceDE w:val="0"/>
        <w:autoSpaceDN w:val="0"/>
        <w:adjustRightInd w:val="0"/>
        <w:rPr>
          <w:b/>
          <w:sz w:val="24"/>
        </w:rPr>
      </w:pPr>
      <w:r w:rsidRPr="00AF0424">
        <w:rPr>
          <w:b/>
          <w:sz w:val="24"/>
        </w:rPr>
        <w:t>Документы, необходимые для внесения предложений</w:t>
      </w:r>
    </w:p>
    <w:p w:rsidR="00926683" w:rsidRPr="00AF0424" w:rsidRDefault="00926683" w:rsidP="00926683">
      <w:pPr>
        <w:autoSpaceDE w:val="0"/>
        <w:autoSpaceDN w:val="0"/>
        <w:adjustRightInd w:val="0"/>
        <w:rPr>
          <w:b/>
          <w:sz w:val="24"/>
        </w:rPr>
      </w:pPr>
      <w:r w:rsidRPr="00AF0424">
        <w:rPr>
          <w:b/>
          <w:sz w:val="24"/>
        </w:rPr>
        <w:t>по кандидатурам для дополнительного зачисления в резерв с составов участковых избирательных комиссий</w:t>
      </w:r>
    </w:p>
    <w:p w:rsidR="00926683" w:rsidRPr="00AF0424" w:rsidRDefault="00926683" w:rsidP="0092668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AF0424">
        <w:rPr>
          <w:b/>
          <w:sz w:val="24"/>
        </w:rPr>
        <w:t>Всеми субъектами права внесения кандидатур должны быть представлены:</w:t>
      </w:r>
    </w:p>
    <w:p w:rsidR="00926683" w:rsidRPr="00AF0424" w:rsidRDefault="00926683" w:rsidP="0092668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lastRenderedPageBreak/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926683" w:rsidRPr="00AF0424" w:rsidRDefault="00926683" w:rsidP="0092668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926683" w:rsidRPr="00AF0424" w:rsidRDefault="00926683" w:rsidP="00926683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политических партий, их региональных отделений, иных структурных подразделений:</w:t>
      </w:r>
    </w:p>
    <w:p w:rsidR="00926683" w:rsidRPr="00AF0424" w:rsidRDefault="00926683" w:rsidP="0092668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26683" w:rsidRPr="00AF0424" w:rsidRDefault="00926683" w:rsidP="0092668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926683" w:rsidRPr="00AF0424" w:rsidRDefault="00926683" w:rsidP="00926683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общественных объединений:</w:t>
      </w:r>
    </w:p>
    <w:p w:rsidR="00926683" w:rsidRPr="00AF0424" w:rsidRDefault="00926683" w:rsidP="0092668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26683" w:rsidRPr="00AF0424" w:rsidRDefault="00926683" w:rsidP="0092668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26683" w:rsidRPr="00AF0424" w:rsidRDefault="00926683" w:rsidP="0092668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AF0424">
          <w:rPr>
            <w:sz w:val="24"/>
          </w:rPr>
          <w:t>пункте 2</w:t>
        </w:r>
      </w:hyperlink>
      <w:r w:rsidRPr="00AF0424">
        <w:rPr>
          <w:sz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926683" w:rsidRPr="00AF0424" w:rsidRDefault="00926683" w:rsidP="00926683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субъектов права внесения кандидатур в резерв составов участковых комиссий:</w:t>
      </w:r>
    </w:p>
    <w:p w:rsidR="00926683" w:rsidRPr="00AF0424" w:rsidRDefault="00926683" w:rsidP="00926683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0" w:name="_GoBack"/>
      <w:bookmarkEnd w:id="0"/>
      <w:r w:rsidRPr="00AF0424">
        <w:rPr>
          <w:sz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26683" w:rsidRPr="00AF0424" w:rsidRDefault="00926683" w:rsidP="00926683">
      <w:pPr>
        <w:tabs>
          <w:tab w:val="left" w:pos="540"/>
          <w:tab w:val="left" w:pos="1620"/>
        </w:tabs>
        <w:ind w:firstLine="567"/>
        <w:jc w:val="both"/>
        <w:rPr>
          <w:sz w:val="24"/>
          <w:szCs w:val="28"/>
        </w:rPr>
      </w:pPr>
      <w:r w:rsidRPr="00AF0424">
        <w:rPr>
          <w:sz w:val="24"/>
          <w:szCs w:val="28"/>
        </w:rPr>
        <w:t>Обращаем внимание, что в резерв составов участковых комиссия не зачисляются кандидатуры</w:t>
      </w:r>
      <w:r>
        <w:rPr>
          <w:sz w:val="24"/>
          <w:szCs w:val="28"/>
        </w:rPr>
        <w:t>,</w:t>
      </w:r>
      <w:r w:rsidRPr="00AF0424">
        <w:rPr>
          <w:sz w:val="24"/>
          <w:szCs w:val="28"/>
        </w:rPr>
        <w:t xml:space="preserve">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3D51AE" w:rsidRDefault="003D51AE"/>
    <w:sectPr w:rsidR="003D51AE" w:rsidSect="00C74F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3"/>
    <w:rsid w:val="003D51AE"/>
    <w:rsid w:val="009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CDB3-2236-4FDB-ADC0-E6F99417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ТИК</dc:creator>
  <cp:keywords/>
  <dc:description/>
  <cp:lastModifiedBy>Бухгалтер ТИК</cp:lastModifiedBy>
  <cp:revision>1</cp:revision>
  <dcterms:created xsi:type="dcterms:W3CDTF">2019-07-15T16:50:00Z</dcterms:created>
  <dcterms:modified xsi:type="dcterms:W3CDTF">2019-07-15T16:52:00Z</dcterms:modified>
</cp:coreProperties>
</file>