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7027CB">
        <w:t>50:14:0040108:911, расположенного по адресу: Московская область, р-н Щелковский, Севернее п. Краснознаменский, южнее р. Клязьма, на поле № 21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7027CB" w:rsidRPr="007027CB">
        <w:rPr>
          <w:rFonts w:ascii="Times New Roman" w:hAnsi="Times New Roman"/>
          <w:sz w:val="24"/>
          <w:szCs w:val="24"/>
        </w:rPr>
        <w:t>(в ред. от 02.05.2023 № 1570)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7027CB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7027CB" w:rsidRPr="007027CB">
        <w:rPr>
          <w:rFonts w:ascii="Times New Roman" w:hAnsi="Times New Roman"/>
          <w:sz w:val="24"/>
          <w:szCs w:val="24"/>
        </w:rPr>
        <w:t>Э.Э. Тетерденко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7027CB" w:rsidRPr="007027CB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7027CB" w:rsidRPr="007027CB">
        <w:rPr>
          <w:rFonts w:ascii="Times New Roman" w:hAnsi="Times New Roman" w:cs="Times New Roman"/>
          <w:sz w:val="24"/>
          <w:szCs w:val="24"/>
        </w:rPr>
        <w:t>50:14:0040108:911 площадью 500 кв. м, расположенного по адресу: Московская область, р-н Щелковский, Севернее п. Краснознаменский, южнее р. Клязьма, на поле № 21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Pr="007027CB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30" w:rsidRDefault="00224030" w:rsidP="00202917">
      <w:pPr>
        <w:spacing w:after="0" w:line="240" w:lineRule="auto"/>
      </w:pPr>
      <w:r>
        <w:separator/>
      </w:r>
    </w:p>
  </w:endnote>
  <w:endnote w:type="continuationSeparator" w:id="0">
    <w:p w:rsidR="00224030" w:rsidRDefault="0022403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30" w:rsidRDefault="00224030" w:rsidP="00202917">
      <w:pPr>
        <w:spacing w:after="0" w:line="240" w:lineRule="auto"/>
      </w:pPr>
      <w:r>
        <w:separator/>
      </w:r>
    </w:p>
  </w:footnote>
  <w:footnote w:type="continuationSeparator" w:id="0">
    <w:p w:rsidR="00224030" w:rsidRDefault="0022403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4030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4F52F1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DFF7-CF50-4D79-B791-F26DDDC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2023-09-13T12:42:00Z</dcterms:created>
  <dcterms:modified xsi:type="dcterms:W3CDTF">2023-09-13T12:42:00Z</dcterms:modified>
</cp:coreProperties>
</file>